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63A8A" w14:textId="77777777" w:rsidR="00406550" w:rsidRDefault="001B59CE">
      <w:pPr>
        <w:pStyle w:val="Heading1"/>
        <w:spacing w:line="448" w:lineRule="auto"/>
        <w:ind w:left="926" w:firstLine="7106"/>
      </w:pPr>
      <w:r>
        <w:t>EXHIBIT</w:t>
      </w:r>
      <w:r>
        <w:rPr>
          <w:spacing w:val="-15"/>
        </w:rPr>
        <w:t xml:space="preserve"> </w:t>
      </w:r>
      <w:r>
        <w:t>B-1 FORM OF TRANSFER CERTIFICATE OF RULE 144A GLOBAL NOTE</w:t>
      </w:r>
    </w:p>
    <w:p w14:paraId="1F30854B" w14:textId="77777777" w:rsidR="00406550" w:rsidRDefault="001B59CE">
      <w:pPr>
        <w:pStyle w:val="BodyText"/>
        <w:ind w:right="4664"/>
        <w:jc w:val="left"/>
      </w:pPr>
      <w:r>
        <w:t>Sumitomo</w:t>
      </w:r>
      <w:r>
        <w:rPr>
          <w:spacing w:val="-9"/>
        </w:rPr>
        <w:t xml:space="preserve"> </w:t>
      </w:r>
      <w:r>
        <w:t>Mitsui</w:t>
      </w:r>
      <w:r>
        <w:rPr>
          <w:spacing w:val="-9"/>
        </w:rPr>
        <w:t xml:space="preserve"> </w:t>
      </w:r>
      <w:r>
        <w:t>Trust</w:t>
      </w:r>
      <w:r>
        <w:rPr>
          <w:spacing w:val="-9"/>
        </w:rPr>
        <w:t xml:space="preserve"> </w:t>
      </w:r>
      <w:r>
        <w:t>Bank</w:t>
      </w:r>
      <w:r>
        <w:rPr>
          <w:spacing w:val="-9"/>
        </w:rPr>
        <w:t xml:space="preserve"> </w:t>
      </w:r>
      <w:r>
        <w:t>(U.S.A.)</w:t>
      </w:r>
      <w:r>
        <w:rPr>
          <w:spacing w:val="-9"/>
        </w:rPr>
        <w:t xml:space="preserve"> </w:t>
      </w:r>
      <w:r>
        <w:t>Limited 111 River Street</w:t>
      </w:r>
    </w:p>
    <w:p w14:paraId="23765AD3" w14:textId="77777777" w:rsidR="00406550" w:rsidRDefault="001B59CE">
      <w:pPr>
        <w:pStyle w:val="BodyText"/>
        <w:jc w:val="left"/>
      </w:pPr>
      <w:r>
        <w:rPr>
          <w:spacing w:val="-2"/>
        </w:rPr>
        <w:t>Penthouse</w:t>
      </w:r>
    </w:p>
    <w:p w14:paraId="0E871C8F" w14:textId="77777777" w:rsidR="00406550" w:rsidRDefault="001B59CE">
      <w:pPr>
        <w:pStyle w:val="BodyText"/>
        <w:jc w:val="left"/>
      </w:pPr>
      <w:r>
        <w:t>Hoboken,</w:t>
      </w:r>
      <w:r>
        <w:rPr>
          <w:spacing w:val="-6"/>
        </w:rPr>
        <w:t xml:space="preserve"> </w:t>
      </w:r>
      <w:r>
        <w:t>New</w:t>
      </w:r>
      <w:r>
        <w:rPr>
          <w:spacing w:val="-6"/>
        </w:rPr>
        <w:t xml:space="preserve"> </w:t>
      </w:r>
      <w:r>
        <w:t>Jersey</w:t>
      </w:r>
      <w:r>
        <w:rPr>
          <w:spacing w:val="-5"/>
        </w:rPr>
        <w:t xml:space="preserve"> </w:t>
      </w:r>
      <w:r>
        <w:rPr>
          <w:spacing w:val="-2"/>
        </w:rPr>
        <w:t>07030</w:t>
      </w:r>
    </w:p>
    <w:p w14:paraId="705F4D7F" w14:textId="77777777" w:rsidR="00406550" w:rsidRDefault="00406550">
      <w:pPr>
        <w:pStyle w:val="BodyText"/>
        <w:spacing w:before="5"/>
        <w:ind w:left="0"/>
        <w:jc w:val="left"/>
        <w:rPr>
          <w:sz w:val="32"/>
        </w:rPr>
      </w:pPr>
    </w:p>
    <w:p w14:paraId="132D0025" w14:textId="77777777" w:rsidR="00406550" w:rsidRDefault="001B59CE">
      <w:pPr>
        <w:pStyle w:val="BodyText"/>
        <w:ind w:left="1560" w:right="118" w:hanging="720"/>
      </w:pPr>
      <w:r>
        <w:t>Re:</w:t>
      </w:r>
      <w:r>
        <w:rPr>
          <w:spacing w:val="80"/>
        </w:rPr>
        <w:t xml:space="preserve">  </w:t>
      </w:r>
      <w:r>
        <w:t>Marble</w:t>
      </w:r>
      <w:r>
        <w:rPr>
          <w:spacing w:val="40"/>
        </w:rPr>
        <w:t xml:space="preserve"> </w:t>
      </w:r>
      <w:r>
        <w:t>Point</w:t>
      </w:r>
      <w:r>
        <w:rPr>
          <w:spacing w:val="40"/>
        </w:rPr>
        <w:t xml:space="preserve"> </w:t>
      </w:r>
      <w:r>
        <w:t>CLO</w:t>
      </w:r>
      <w:r>
        <w:rPr>
          <w:spacing w:val="40"/>
        </w:rPr>
        <w:t xml:space="preserve"> </w:t>
      </w:r>
      <w:r>
        <w:t>XI</w:t>
      </w:r>
      <w:r>
        <w:rPr>
          <w:spacing w:val="40"/>
        </w:rPr>
        <w:t xml:space="preserve"> </w:t>
      </w:r>
      <w:r>
        <w:t>Income</w:t>
      </w:r>
      <w:r>
        <w:rPr>
          <w:spacing w:val="40"/>
        </w:rPr>
        <w:t xml:space="preserve"> </w:t>
      </w:r>
      <w:r>
        <w:t>Note</w:t>
      </w:r>
      <w:r>
        <w:rPr>
          <w:spacing w:val="40"/>
        </w:rPr>
        <w:t xml:space="preserve"> </w:t>
      </w:r>
      <w:r>
        <w:t>Ltd.</w:t>
      </w:r>
      <w:r>
        <w:rPr>
          <w:spacing w:val="40"/>
        </w:rPr>
        <w:t xml:space="preserve"> </w:t>
      </w:r>
      <w:r>
        <w:t>(the</w:t>
      </w:r>
      <w:r>
        <w:rPr>
          <w:spacing w:val="40"/>
        </w:rPr>
        <w:t xml:space="preserve"> </w:t>
      </w:r>
      <w:r>
        <w:t>“</w:t>
      </w:r>
      <w:r>
        <w:rPr>
          <w:u w:val="single"/>
        </w:rPr>
        <w:t>Income</w:t>
      </w:r>
      <w:r>
        <w:rPr>
          <w:spacing w:val="40"/>
          <w:u w:val="single"/>
        </w:rPr>
        <w:t xml:space="preserve"> </w:t>
      </w:r>
      <w:r>
        <w:rPr>
          <w:u w:val="single"/>
        </w:rPr>
        <w:t>Note</w:t>
      </w:r>
      <w:r>
        <w:rPr>
          <w:spacing w:val="40"/>
          <w:u w:val="single"/>
        </w:rPr>
        <w:t xml:space="preserve"> </w:t>
      </w:r>
      <w:r>
        <w:rPr>
          <w:u w:val="single"/>
        </w:rPr>
        <w:t>Issuer</w:t>
      </w:r>
      <w:r>
        <w:t>”);</w:t>
      </w:r>
      <w:r>
        <w:rPr>
          <w:spacing w:val="40"/>
        </w:rPr>
        <w:t xml:space="preserve"> </w:t>
      </w:r>
      <w:r>
        <w:t>Income Notes due 2047</w:t>
      </w:r>
    </w:p>
    <w:p w14:paraId="406B3A6C" w14:textId="77777777" w:rsidR="00406550" w:rsidRDefault="001B59CE">
      <w:pPr>
        <w:pStyle w:val="BodyText"/>
        <w:spacing w:before="120"/>
        <w:ind w:right="115"/>
      </w:pPr>
      <w:r>
        <w:t>Reference is hereby made to the Income Note Paying Agency Agreement dated as of December 18, 2017 (the “</w:t>
      </w:r>
      <w:r>
        <w:rPr>
          <w:u w:val="single"/>
        </w:rPr>
        <w:t>Income Note Paying Agency Agreement</w:t>
      </w:r>
      <w:r>
        <w:t>”) among the Income Note Issuer and Sumitomo Mitsui Trust Bank (U.S.A.) Limited, as income note</w:t>
      </w:r>
      <w:r>
        <w:t xml:space="preserve"> paying agent (in such capacity, the “</w:t>
      </w:r>
      <w:r>
        <w:rPr>
          <w:u w:val="single"/>
        </w:rPr>
        <w:t>Income Note Paying Agent</w:t>
      </w:r>
      <w:r>
        <w:t>”) and as income note registrar (the "</w:t>
      </w:r>
      <w:r>
        <w:rPr>
          <w:u w:val="single"/>
        </w:rPr>
        <w:t>Income Note Registrar</w:t>
      </w:r>
      <w:r>
        <w:t>"). Capitalized terms used but not defined herein shall have the meanings given to them in the Income Note Paying Agency Agreement.</w:t>
      </w:r>
    </w:p>
    <w:p w14:paraId="6CAD16CD" w14:textId="77777777" w:rsidR="00406550" w:rsidRDefault="001B59CE">
      <w:pPr>
        <w:pStyle w:val="BodyText"/>
        <w:tabs>
          <w:tab w:val="left" w:pos="4066"/>
        </w:tabs>
        <w:spacing w:before="120"/>
        <w:ind w:right="117"/>
      </w:pPr>
      <w:r>
        <w:t>Thi</w:t>
      </w:r>
      <w:r>
        <w:t>s letter relates to U.S.$</w:t>
      </w:r>
      <w:r>
        <w:rPr>
          <w:u w:val="single"/>
        </w:rPr>
        <w:tab/>
      </w:r>
      <w:r>
        <w:t xml:space="preserve"> Aggregate Outstanding Amount of Income Notes (the “</w:t>
      </w:r>
      <w:r>
        <w:rPr>
          <w:u w:val="single"/>
        </w:rPr>
        <w:t>Income Notes</w:t>
      </w:r>
      <w:r>
        <w:t>”), which are to be transferred to the undersigned transferee (the “</w:t>
      </w:r>
      <w:r>
        <w:rPr>
          <w:u w:val="single"/>
        </w:rPr>
        <w:t>Transferee</w:t>
      </w:r>
      <w:r>
        <w:t>”) in the form of a Rule 144A Global Note.</w:t>
      </w:r>
    </w:p>
    <w:p w14:paraId="4750A0F2" w14:textId="77777777" w:rsidR="00406550" w:rsidRDefault="001B59CE">
      <w:pPr>
        <w:pStyle w:val="BodyText"/>
        <w:spacing w:before="120"/>
        <w:ind w:right="116"/>
      </w:pPr>
      <w:r>
        <w:t>In connection with such request, and in respe</w:t>
      </w:r>
      <w:r>
        <w:t>ct of such Income Notes, the Transferee does</w:t>
      </w:r>
      <w:r>
        <w:rPr>
          <w:spacing w:val="40"/>
        </w:rPr>
        <w:t xml:space="preserve"> </w:t>
      </w:r>
      <w:r>
        <w:t>hereby certify that the Income Notes are being transferred (i) in accordance with the transfer restrictions set forth in the Income Note Paying Agency Agreement and (ii) pursuant to an exemption from registratio</w:t>
      </w:r>
      <w:r>
        <w:t>n under the United States Securities Act of 1933, as amended (the “</w:t>
      </w:r>
      <w:r>
        <w:rPr>
          <w:u w:val="single"/>
        </w:rPr>
        <w:t>Securities</w:t>
      </w:r>
      <w:r>
        <w:rPr>
          <w:spacing w:val="-1"/>
          <w:u w:val="single"/>
        </w:rPr>
        <w:t xml:space="preserve"> </w:t>
      </w:r>
      <w:r>
        <w:rPr>
          <w:u w:val="single"/>
        </w:rPr>
        <w:t>Act</w:t>
      </w:r>
      <w:r>
        <w:t>”)</w:t>
      </w:r>
      <w:r>
        <w:rPr>
          <w:spacing w:val="-1"/>
        </w:rPr>
        <w:t xml:space="preserve"> </w:t>
      </w:r>
      <w:r>
        <w:t>and</w:t>
      </w:r>
      <w:r>
        <w:rPr>
          <w:spacing w:val="-1"/>
        </w:rPr>
        <w:t xml:space="preserve"> </w:t>
      </w:r>
      <w:r>
        <w:t>in</w:t>
      </w:r>
      <w:r>
        <w:rPr>
          <w:spacing w:val="-2"/>
        </w:rPr>
        <w:t xml:space="preserve"> </w:t>
      </w:r>
      <w:r>
        <w:t>accordance</w:t>
      </w:r>
      <w:r>
        <w:rPr>
          <w:spacing w:val="-1"/>
        </w:rPr>
        <w:t xml:space="preserve"> </w:t>
      </w:r>
      <w:r>
        <w:t>with</w:t>
      </w:r>
      <w:r>
        <w:rPr>
          <w:spacing w:val="-1"/>
        </w:rPr>
        <w:t xml:space="preserve"> </w:t>
      </w:r>
      <w:r>
        <w:t>any</w:t>
      </w:r>
      <w:r>
        <w:rPr>
          <w:spacing w:val="-1"/>
        </w:rPr>
        <w:t xml:space="preserve"> </w:t>
      </w:r>
      <w:r>
        <w:t>applicable</w:t>
      </w:r>
      <w:r>
        <w:rPr>
          <w:spacing w:val="-1"/>
        </w:rPr>
        <w:t xml:space="preserve"> </w:t>
      </w:r>
      <w:r>
        <w:t>securities</w:t>
      </w:r>
      <w:r>
        <w:rPr>
          <w:spacing w:val="-1"/>
        </w:rPr>
        <w:t xml:space="preserve"> </w:t>
      </w:r>
      <w:r>
        <w:t>laws</w:t>
      </w:r>
      <w:r>
        <w:rPr>
          <w:spacing w:val="-1"/>
        </w:rPr>
        <w:t xml:space="preserve"> </w:t>
      </w:r>
      <w:r>
        <w:t>of</w:t>
      </w:r>
      <w:r>
        <w:rPr>
          <w:spacing w:val="-1"/>
        </w:rPr>
        <w:t xml:space="preserve"> </w:t>
      </w:r>
      <w:r>
        <w:t>any</w:t>
      </w:r>
      <w:r>
        <w:rPr>
          <w:spacing w:val="-1"/>
        </w:rPr>
        <w:t xml:space="preserve"> </w:t>
      </w:r>
      <w:r>
        <w:t>state</w:t>
      </w:r>
      <w:r>
        <w:rPr>
          <w:spacing w:val="-1"/>
        </w:rPr>
        <w:t xml:space="preserve"> </w:t>
      </w:r>
      <w:r>
        <w:t>of</w:t>
      </w:r>
      <w:r>
        <w:rPr>
          <w:spacing w:val="-1"/>
        </w:rPr>
        <w:t xml:space="preserve"> </w:t>
      </w:r>
      <w:r>
        <w:t>the</w:t>
      </w:r>
      <w:r>
        <w:rPr>
          <w:spacing w:val="-1"/>
        </w:rPr>
        <w:t xml:space="preserve"> </w:t>
      </w:r>
      <w:r>
        <w:t>United States or any other jurisdiction.</w:t>
      </w:r>
    </w:p>
    <w:p w14:paraId="7B3B4218" w14:textId="77777777" w:rsidR="00406550" w:rsidRDefault="001B59CE">
      <w:pPr>
        <w:pStyle w:val="BodyText"/>
        <w:spacing w:before="120"/>
        <w:ind w:right="115"/>
      </w:pPr>
      <w:r>
        <w:t>In addition, the Transferee hereby represents, warrants and covenants for the benefit of the Income Note Issuer and its counsel that it is a person that is a Qualified Institutional Buyer and a Qualified Purchaser, and is acquiring the Income Notes in reli</w:t>
      </w:r>
      <w:r>
        <w:t>ance on the exemption from Securities Act registration provided by Rule 144A thereunder.</w:t>
      </w:r>
    </w:p>
    <w:p w14:paraId="2B639F49" w14:textId="77777777" w:rsidR="00406550" w:rsidRDefault="001B59CE">
      <w:pPr>
        <w:pStyle w:val="BodyText"/>
        <w:spacing w:before="121"/>
      </w:pPr>
      <w:r>
        <w:t>The</w:t>
      </w:r>
      <w:r>
        <w:rPr>
          <w:spacing w:val="-2"/>
        </w:rPr>
        <w:t xml:space="preserve"> </w:t>
      </w:r>
      <w:r>
        <w:t>Transferee</w:t>
      </w:r>
      <w:r>
        <w:rPr>
          <w:spacing w:val="-1"/>
        </w:rPr>
        <w:t xml:space="preserve"> </w:t>
      </w:r>
      <w:r>
        <w:t>further</w:t>
      </w:r>
      <w:r>
        <w:rPr>
          <w:spacing w:val="-1"/>
        </w:rPr>
        <w:t xml:space="preserve"> </w:t>
      </w:r>
      <w:r>
        <w:t>represents,</w:t>
      </w:r>
      <w:r>
        <w:rPr>
          <w:spacing w:val="-2"/>
        </w:rPr>
        <w:t xml:space="preserve"> </w:t>
      </w:r>
      <w:r>
        <w:t>warrants</w:t>
      </w:r>
      <w:r>
        <w:rPr>
          <w:spacing w:val="-2"/>
        </w:rPr>
        <w:t xml:space="preserve"> </w:t>
      </w:r>
      <w:r>
        <w:t>and</w:t>
      </w:r>
      <w:r>
        <w:rPr>
          <w:spacing w:val="-1"/>
        </w:rPr>
        <w:t xml:space="preserve"> </w:t>
      </w:r>
      <w:r>
        <w:t>agrees</w:t>
      </w:r>
      <w:r>
        <w:rPr>
          <w:spacing w:val="-1"/>
        </w:rPr>
        <w:t xml:space="preserve"> </w:t>
      </w:r>
      <w:r>
        <w:t>as</w:t>
      </w:r>
      <w:r>
        <w:rPr>
          <w:spacing w:val="-1"/>
        </w:rPr>
        <w:t xml:space="preserve"> </w:t>
      </w:r>
      <w:r>
        <w:rPr>
          <w:spacing w:val="-2"/>
        </w:rPr>
        <w:t>follows:</w:t>
      </w:r>
    </w:p>
    <w:p w14:paraId="27E28412" w14:textId="77777777" w:rsidR="00406550" w:rsidRDefault="001B59CE">
      <w:pPr>
        <w:pStyle w:val="ListParagraph"/>
        <w:numPr>
          <w:ilvl w:val="0"/>
          <w:numId w:val="7"/>
        </w:numPr>
        <w:tabs>
          <w:tab w:val="left" w:pos="688"/>
        </w:tabs>
        <w:spacing w:before="120"/>
        <w:ind w:firstLine="0"/>
        <w:jc w:val="both"/>
        <w:rPr>
          <w:sz w:val="24"/>
        </w:rPr>
      </w:pPr>
      <w:r>
        <w:rPr>
          <w:sz w:val="24"/>
        </w:rPr>
        <w:t>(A) if it would be an investment company but for the exclusions from the Investment Company Act prov</w:t>
      </w:r>
      <w:r>
        <w:rPr>
          <w:sz w:val="24"/>
        </w:rPr>
        <w:t>ided by Section 3(c)(1) or Section 3(c)(7) thereof, the Purchaser has received the necessary consents from its beneficial owners; and (B) it is acquiring such Income Notes for investment and not for sale in connection with any distribution thereof and, unl</w:t>
      </w:r>
      <w:r>
        <w:rPr>
          <w:sz w:val="24"/>
        </w:rPr>
        <w:t>ess agreed in writing by the Issuer (or when each beneficial owner of the Purchaser is a Qualified Purchaser), was not formed for the purpose of investing in such Income Notes and is not a partnership, common trust fund, special trust or pension, profit sh</w:t>
      </w:r>
      <w:r>
        <w:rPr>
          <w:sz w:val="24"/>
        </w:rPr>
        <w:t>aring or other retirement trust fund or plan in which partners, beneficiaries or participants, as applicable, may designate the particular investments to be made, and it agrees that it will not hold such Income Notes for the benefit of any other person and</w:t>
      </w:r>
      <w:r>
        <w:rPr>
          <w:sz w:val="24"/>
        </w:rPr>
        <w:t xml:space="preserve"> will be the sole beneficial owner thereof for all purposes and that, in accordance with the provisions therefor in the Income Note Paying Agency Agreement, it will not sell participation</w:t>
      </w:r>
      <w:r>
        <w:rPr>
          <w:spacing w:val="-1"/>
          <w:sz w:val="24"/>
        </w:rPr>
        <w:t xml:space="preserve"> </w:t>
      </w:r>
      <w:r>
        <w:rPr>
          <w:sz w:val="24"/>
        </w:rPr>
        <w:t>interests in</w:t>
      </w:r>
      <w:r>
        <w:rPr>
          <w:spacing w:val="-1"/>
          <w:sz w:val="24"/>
        </w:rPr>
        <w:t xml:space="preserve"> </w:t>
      </w:r>
      <w:r>
        <w:rPr>
          <w:sz w:val="24"/>
        </w:rPr>
        <w:t>such</w:t>
      </w:r>
      <w:r>
        <w:rPr>
          <w:spacing w:val="-1"/>
          <w:sz w:val="24"/>
        </w:rPr>
        <w:t xml:space="preserve"> </w:t>
      </w:r>
      <w:r>
        <w:rPr>
          <w:sz w:val="24"/>
        </w:rPr>
        <w:t>Income Notes or</w:t>
      </w:r>
      <w:r>
        <w:rPr>
          <w:spacing w:val="-1"/>
          <w:sz w:val="24"/>
        </w:rPr>
        <w:t xml:space="preserve"> </w:t>
      </w:r>
      <w:r>
        <w:rPr>
          <w:sz w:val="24"/>
        </w:rPr>
        <w:t>enter</w:t>
      </w:r>
      <w:r>
        <w:rPr>
          <w:spacing w:val="-1"/>
          <w:sz w:val="24"/>
        </w:rPr>
        <w:t xml:space="preserve"> </w:t>
      </w:r>
      <w:r>
        <w:rPr>
          <w:sz w:val="24"/>
        </w:rPr>
        <w:t>into any other arrangement p</w:t>
      </w:r>
      <w:r>
        <w:rPr>
          <w:sz w:val="24"/>
        </w:rPr>
        <w:t>ursuant to</w:t>
      </w:r>
      <w:r>
        <w:rPr>
          <w:spacing w:val="30"/>
          <w:sz w:val="24"/>
        </w:rPr>
        <w:t xml:space="preserve"> </w:t>
      </w:r>
      <w:r>
        <w:rPr>
          <w:sz w:val="24"/>
        </w:rPr>
        <w:t>which</w:t>
      </w:r>
      <w:r>
        <w:rPr>
          <w:spacing w:val="30"/>
          <w:sz w:val="24"/>
        </w:rPr>
        <w:t xml:space="preserve"> </w:t>
      </w:r>
      <w:r>
        <w:rPr>
          <w:sz w:val="24"/>
        </w:rPr>
        <w:t>any</w:t>
      </w:r>
      <w:r>
        <w:rPr>
          <w:spacing w:val="30"/>
          <w:sz w:val="24"/>
        </w:rPr>
        <w:t xml:space="preserve"> </w:t>
      </w:r>
      <w:r>
        <w:rPr>
          <w:sz w:val="24"/>
        </w:rPr>
        <w:t>other</w:t>
      </w:r>
      <w:r>
        <w:rPr>
          <w:spacing w:val="30"/>
          <w:sz w:val="24"/>
        </w:rPr>
        <w:t xml:space="preserve"> </w:t>
      </w:r>
      <w:r>
        <w:rPr>
          <w:sz w:val="24"/>
        </w:rPr>
        <w:t>person</w:t>
      </w:r>
      <w:r>
        <w:rPr>
          <w:spacing w:val="30"/>
          <w:sz w:val="24"/>
        </w:rPr>
        <w:t xml:space="preserve"> </w:t>
      </w:r>
      <w:r>
        <w:rPr>
          <w:sz w:val="24"/>
        </w:rPr>
        <w:t>will</w:t>
      </w:r>
      <w:r>
        <w:rPr>
          <w:spacing w:val="30"/>
          <w:sz w:val="24"/>
        </w:rPr>
        <w:t xml:space="preserve"> </w:t>
      </w:r>
      <w:r>
        <w:rPr>
          <w:sz w:val="24"/>
        </w:rPr>
        <w:t>be</w:t>
      </w:r>
      <w:r>
        <w:rPr>
          <w:spacing w:val="30"/>
          <w:sz w:val="24"/>
        </w:rPr>
        <w:t xml:space="preserve"> </w:t>
      </w:r>
      <w:r>
        <w:rPr>
          <w:sz w:val="24"/>
        </w:rPr>
        <w:t>entitled</w:t>
      </w:r>
      <w:r>
        <w:rPr>
          <w:spacing w:val="30"/>
          <w:sz w:val="24"/>
        </w:rPr>
        <w:t xml:space="preserve"> </w:t>
      </w:r>
      <w:r>
        <w:rPr>
          <w:sz w:val="24"/>
        </w:rPr>
        <w:t>to</w:t>
      </w:r>
      <w:r>
        <w:rPr>
          <w:spacing w:val="30"/>
          <w:sz w:val="24"/>
        </w:rPr>
        <w:t xml:space="preserve"> </w:t>
      </w:r>
      <w:r>
        <w:rPr>
          <w:sz w:val="24"/>
        </w:rPr>
        <w:t>a</w:t>
      </w:r>
      <w:r>
        <w:rPr>
          <w:spacing w:val="29"/>
          <w:sz w:val="24"/>
        </w:rPr>
        <w:t xml:space="preserve"> </w:t>
      </w:r>
      <w:r>
        <w:rPr>
          <w:sz w:val="24"/>
        </w:rPr>
        <w:t>beneficial</w:t>
      </w:r>
      <w:r>
        <w:rPr>
          <w:spacing w:val="30"/>
          <w:sz w:val="24"/>
        </w:rPr>
        <w:t xml:space="preserve"> </w:t>
      </w:r>
      <w:r>
        <w:rPr>
          <w:sz w:val="24"/>
        </w:rPr>
        <w:t>interest</w:t>
      </w:r>
      <w:r>
        <w:rPr>
          <w:spacing w:val="30"/>
          <w:sz w:val="24"/>
        </w:rPr>
        <w:t xml:space="preserve"> </w:t>
      </w:r>
      <w:r>
        <w:rPr>
          <w:sz w:val="24"/>
        </w:rPr>
        <w:t>in</w:t>
      </w:r>
      <w:r>
        <w:rPr>
          <w:spacing w:val="30"/>
          <w:sz w:val="24"/>
        </w:rPr>
        <w:t xml:space="preserve"> </w:t>
      </w:r>
      <w:r>
        <w:rPr>
          <w:sz w:val="24"/>
        </w:rPr>
        <w:t>the</w:t>
      </w:r>
      <w:r>
        <w:rPr>
          <w:spacing w:val="30"/>
          <w:sz w:val="24"/>
        </w:rPr>
        <w:t xml:space="preserve"> </w:t>
      </w:r>
      <w:r>
        <w:rPr>
          <w:sz w:val="24"/>
        </w:rPr>
        <w:t>distributions</w:t>
      </w:r>
      <w:r>
        <w:rPr>
          <w:spacing w:val="30"/>
          <w:sz w:val="24"/>
        </w:rPr>
        <w:t xml:space="preserve"> </w:t>
      </w:r>
      <w:r>
        <w:rPr>
          <w:sz w:val="24"/>
        </w:rPr>
        <w:t>on</w:t>
      </w:r>
      <w:r>
        <w:rPr>
          <w:spacing w:val="30"/>
          <w:sz w:val="24"/>
        </w:rPr>
        <w:t xml:space="preserve"> </w:t>
      </w:r>
      <w:r>
        <w:rPr>
          <w:sz w:val="24"/>
        </w:rPr>
        <w:t>such</w:t>
      </w:r>
    </w:p>
    <w:p w14:paraId="37F16422" w14:textId="77777777" w:rsidR="00406550" w:rsidRDefault="00406550">
      <w:pPr>
        <w:jc w:val="both"/>
        <w:rPr>
          <w:sz w:val="24"/>
        </w:rPr>
        <w:sectPr w:rsidR="00406550">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320" w:bottom="980" w:left="1320" w:header="0" w:footer="789" w:gutter="0"/>
          <w:pgNumType w:start="1"/>
          <w:cols w:space="720"/>
        </w:sectPr>
      </w:pPr>
    </w:p>
    <w:p w14:paraId="429B2BAB" w14:textId="77777777" w:rsidR="00406550" w:rsidRDefault="001B59CE">
      <w:pPr>
        <w:pStyle w:val="BodyText"/>
        <w:spacing w:before="76"/>
        <w:ind w:right="118"/>
      </w:pPr>
      <w:r>
        <w:lastRenderedPageBreak/>
        <w:t>Income Notes (unless such other person is a Qualified Institutional Buyer and a Qualified Purchaser), and further that all Income Notes purchased directly or indirectly by it constitute an investment of no more than 40% of its assets (except when each bene</w:t>
      </w:r>
      <w:r>
        <w:t>ficial owner of the Purchaser is a Qualified Purchaser).</w:t>
      </w:r>
    </w:p>
    <w:p w14:paraId="55E70541" w14:textId="77777777" w:rsidR="00406550" w:rsidRDefault="001B59CE">
      <w:pPr>
        <w:pStyle w:val="ListParagraph"/>
        <w:numPr>
          <w:ilvl w:val="0"/>
          <w:numId w:val="7"/>
        </w:numPr>
        <w:tabs>
          <w:tab w:val="left" w:pos="688"/>
        </w:tabs>
        <w:spacing w:before="121"/>
        <w:ind w:firstLine="0"/>
        <w:jc w:val="both"/>
        <w:rPr>
          <w:sz w:val="24"/>
        </w:rPr>
      </w:pPr>
      <w:r>
        <w:rPr>
          <w:sz w:val="24"/>
        </w:rPr>
        <w:t>In connection with its purchase of such Income Notes: (A) none of the Transaction Parties or any of their respective Affiliates is acting as a fiduciary or financial or investment advisor for it; (B)</w:t>
      </w:r>
      <w:r>
        <w:rPr>
          <w:sz w:val="24"/>
        </w:rPr>
        <w:t xml:space="preserve"> it is not relying (for purposes of making any investment decision or otherwise) upon any advice, counsel or representations (whether written or oral) of the Transaction Parties or any of their respective Affiliates; (C) it has consulted with its own legal</w:t>
      </w:r>
      <w:r>
        <w:rPr>
          <w:sz w:val="24"/>
        </w:rPr>
        <w:t>, regulatory, tax, business, investment, financial and accounting advisors to the extent it has deemed necessary and has</w:t>
      </w:r>
      <w:r>
        <w:rPr>
          <w:spacing w:val="40"/>
          <w:sz w:val="24"/>
        </w:rPr>
        <w:t xml:space="preserve"> </w:t>
      </w:r>
      <w:r>
        <w:rPr>
          <w:sz w:val="24"/>
        </w:rPr>
        <w:t xml:space="preserve">made its own investment decisions (including decisions regarding the suitability of any transaction pursuant to the Income Note Paying </w:t>
      </w:r>
      <w:r>
        <w:rPr>
          <w:sz w:val="24"/>
        </w:rPr>
        <w:t>Agency Agreement) based upon its own judgment and upon any advice from such advisors as it has deemed necessary and not upon any view expressed by the Transaction Parties or any of their respective Affiliates; (D) it has read</w:t>
      </w:r>
      <w:r>
        <w:rPr>
          <w:spacing w:val="40"/>
          <w:sz w:val="24"/>
        </w:rPr>
        <w:t xml:space="preserve"> </w:t>
      </w:r>
      <w:r>
        <w:rPr>
          <w:sz w:val="24"/>
        </w:rPr>
        <w:t>and understands the Offering M</w:t>
      </w:r>
      <w:r>
        <w:rPr>
          <w:sz w:val="24"/>
        </w:rPr>
        <w:t>emorandum for such Income Notes; (E) it will hold at least the Minimum Denomination of such Notes; (F) it is a sophisticated investor and is purchasing such Income Notes with a full understanding of all of the terms, conditions and risks thereof, and is ca</w:t>
      </w:r>
      <w:r>
        <w:rPr>
          <w:sz w:val="24"/>
        </w:rPr>
        <w:t>pable of and willing to assume those risks; and (G) it is not purchasing such Income Notes</w:t>
      </w:r>
      <w:r>
        <w:rPr>
          <w:spacing w:val="40"/>
          <w:sz w:val="24"/>
        </w:rPr>
        <w:t xml:space="preserve"> </w:t>
      </w:r>
      <w:r>
        <w:rPr>
          <w:sz w:val="24"/>
        </w:rPr>
        <w:t>with a view to the resale, distribution or other disposition thereof in violation of the Securities Act; provided that none of the representations in clauses (A) thr</w:t>
      </w:r>
      <w:r>
        <w:rPr>
          <w:sz w:val="24"/>
        </w:rPr>
        <w:t>ough (C) is made with respect to the Collateral Manager by any Affiliate of the Collateral Manager or any account for which the Collateral Manager or any of its Affiliates acts as investment adviser.</w:t>
      </w:r>
    </w:p>
    <w:p w14:paraId="1AC1690E" w14:textId="77777777" w:rsidR="00406550" w:rsidRDefault="001B59CE">
      <w:pPr>
        <w:pStyle w:val="ListParagraph"/>
        <w:numPr>
          <w:ilvl w:val="0"/>
          <w:numId w:val="7"/>
        </w:numPr>
        <w:tabs>
          <w:tab w:val="left" w:pos="688"/>
        </w:tabs>
        <w:spacing w:before="120"/>
        <w:ind w:firstLine="0"/>
        <w:jc w:val="both"/>
        <w:rPr>
          <w:sz w:val="24"/>
        </w:rPr>
      </w:pPr>
      <w:r>
        <w:rPr>
          <w:sz w:val="24"/>
        </w:rPr>
        <w:t xml:space="preserve">It understands that such Income Notes are being offered </w:t>
      </w:r>
      <w:r>
        <w:rPr>
          <w:sz w:val="24"/>
        </w:rPr>
        <w:t>only in a transaction not involving any public offering in the United States within the meaning of the Securities Act, such Income Notes have not been and will not be registered under the Securities Act, and, if in the future it decides to offer, resell, p</w:t>
      </w:r>
      <w:r>
        <w:rPr>
          <w:sz w:val="24"/>
        </w:rPr>
        <w:t>ledge or otherwise transfer such Income Notes, such Income Notes may be offered, resold, pledged or otherwise transferred only in accordance with the provisions of the Income Note Paying Agency Agreement and the legend on such Income Notes. It acknowledges</w:t>
      </w:r>
      <w:r>
        <w:rPr>
          <w:sz w:val="24"/>
        </w:rPr>
        <w:t xml:space="preserve"> that no representation has been made as to the availability of any exemption under the Securities Act or any state securities laws for resale of such Income Notes. It understands that the Income Note Issuer has not been registered under the Investment Com</w:t>
      </w:r>
      <w:r>
        <w:rPr>
          <w:sz w:val="24"/>
        </w:rPr>
        <w:t>pany Act in reliance on an exemption from registration thereunder.</w:t>
      </w:r>
    </w:p>
    <w:p w14:paraId="08E7FAC8" w14:textId="77777777" w:rsidR="00406550" w:rsidRDefault="001B59CE">
      <w:pPr>
        <w:pStyle w:val="ListParagraph"/>
        <w:numPr>
          <w:ilvl w:val="0"/>
          <w:numId w:val="7"/>
        </w:numPr>
        <w:tabs>
          <w:tab w:val="left" w:pos="689"/>
        </w:tabs>
        <w:spacing w:before="119"/>
        <w:ind w:right="117" w:firstLine="0"/>
        <w:jc w:val="both"/>
        <w:rPr>
          <w:sz w:val="24"/>
        </w:rPr>
      </w:pPr>
      <w:r>
        <w:rPr>
          <w:sz w:val="24"/>
        </w:rPr>
        <w:t>It will provide notice to each person to whom it proposes to transfer any interest in such Income Notes of the transfer restrictions and representations set forth in Section 2.5 of the Inco</w:t>
      </w:r>
      <w:r>
        <w:rPr>
          <w:sz w:val="24"/>
        </w:rPr>
        <w:t>me Note Paying Agency Agreement, including the Exhibits referenced herein.</w:t>
      </w:r>
    </w:p>
    <w:p w14:paraId="468C8314" w14:textId="77777777" w:rsidR="00406550" w:rsidRDefault="001B59CE">
      <w:pPr>
        <w:pStyle w:val="ListParagraph"/>
        <w:numPr>
          <w:ilvl w:val="0"/>
          <w:numId w:val="7"/>
        </w:numPr>
        <w:tabs>
          <w:tab w:val="left" w:pos="689"/>
        </w:tabs>
        <w:spacing w:before="200"/>
        <w:ind w:right="116" w:firstLine="0"/>
        <w:jc w:val="both"/>
        <w:rPr>
          <w:sz w:val="24"/>
        </w:rPr>
      </w:pPr>
      <w:r>
        <w:rPr>
          <w:sz w:val="24"/>
        </w:rPr>
        <w:t>(It agrees that it will not, prior to the date which is one year (or, if longer, the applicable preference period then in effect) plus one day after the payment in full of all Debt, institute against, or join any other Person in instituting against, the Is</w:t>
      </w:r>
      <w:r>
        <w:rPr>
          <w:sz w:val="24"/>
        </w:rPr>
        <w:t>suer, the Co-Issuer, the Income Note Issuer or any Tax Subsidiary any bankruptcy, reorganization, arrangement, insolvency, winding up,</w:t>
      </w:r>
      <w:r>
        <w:rPr>
          <w:spacing w:val="15"/>
          <w:sz w:val="24"/>
        </w:rPr>
        <w:t xml:space="preserve"> </w:t>
      </w:r>
      <w:r>
        <w:rPr>
          <w:sz w:val="24"/>
        </w:rPr>
        <w:t>moratorium</w:t>
      </w:r>
      <w:r>
        <w:rPr>
          <w:spacing w:val="15"/>
          <w:sz w:val="24"/>
        </w:rPr>
        <w:t xml:space="preserve"> </w:t>
      </w:r>
      <w:r>
        <w:rPr>
          <w:sz w:val="24"/>
        </w:rPr>
        <w:t>or</w:t>
      </w:r>
      <w:r>
        <w:rPr>
          <w:spacing w:val="17"/>
          <w:sz w:val="24"/>
        </w:rPr>
        <w:t xml:space="preserve"> </w:t>
      </w:r>
      <w:r>
        <w:rPr>
          <w:sz w:val="24"/>
        </w:rPr>
        <w:t>liquidation</w:t>
      </w:r>
      <w:r>
        <w:rPr>
          <w:spacing w:val="17"/>
          <w:sz w:val="24"/>
        </w:rPr>
        <w:t xml:space="preserve"> </w:t>
      </w:r>
      <w:r>
        <w:rPr>
          <w:sz w:val="24"/>
        </w:rPr>
        <w:t>proceedings,</w:t>
      </w:r>
      <w:r>
        <w:rPr>
          <w:spacing w:val="17"/>
          <w:sz w:val="24"/>
        </w:rPr>
        <w:t xml:space="preserve"> </w:t>
      </w:r>
      <w:r>
        <w:rPr>
          <w:sz w:val="24"/>
        </w:rPr>
        <w:t>or</w:t>
      </w:r>
      <w:r>
        <w:rPr>
          <w:spacing w:val="17"/>
          <w:sz w:val="24"/>
        </w:rPr>
        <w:t xml:space="preserve"> </w:t>
      </w:r>
      <w:r>
        <w:rPr>
          <w:sz w:val="24"/>
        </w:rPr>
        <w:t>other</w:t>
      </w:r>
      <w:r>
        <w:rPr>
          <w:spacing w:val="17"/>
          <w:sz w:val="24"/>
        </w:rPr>
        <w:t xml:space="preserve"> </w:t>
      </w:r>
      <w:r>
        <w:rPr>
          <w:sz w:val="24"/>
        </w:rPr>
        <w:t>similar</w:t>
      </w:r>
      <w:r>
        <w:rPr>
          <w:spacing w:val="16"/>
          <w:sz w:val="24"/>
        </w:rPr>
        <w:t xml:space="preserve"> </w:t>
      </w:r>
      <w:r>
        <w:rPr>
          <w:sz w:val="24"/>
        </w:rPr>
        <w:t>proceedings</w:t>
      </w:r>
      <w:r>
        <w:rPr>
          <w:spacing w:val="17"/>
          <w:sz w:val="24"/>
        </w:rPr>
        <w:t xml:space="preserve"> </w:t>
      </w:r>
      <w:r>
        <w:rPr>
          <w:sz w:val="24"/>
        </w:rPr>
        <w:t>under</w:t>
      </w:r>
      <w:r>
        <w:rPr>
          <w:spacing w:val="17"/>
          <w:sz w:val="24"/>
        </w:rPr>
        <w:t xml:space="preserve"> </w:t>
      </w:r>
      <w:r>
        <w:rPr>
          <w:sz w:val="24"/>
        </w:rPr>
        <w:t>Cayman</w:t>
      </w:r>
      <w:r>
        <w:rPr>
          <w:spacing w:val="17"/>
          <w:sz w:val="24"/>
        </w:rPr>
        <w:t xml:space="preserve"> </w:t>
      </w:r>
      <w:r>
        <w:rPr>
          <w:spacing w:val="-2"/>
          <w:sz w:val="24"/>
        </w:rPr>
        <w:t>Islands,</w:t>
      </w:r>
    </w:p>
    <w:p w14:paraId="178D677E" w14:textId="77777777" w:rsidR="00406550" w:rsidRDefault="001B59CE">
      <w:pPr>
        <w:pStyle w:val="BodyText"/>
        <w:spacing w:before="1"/>
        <w:ind w:right="116"/>
      </w:pPr>
      <w:r>
        <w:t>U.S. federal or state bankruptc</w:t>
      </w:r>
      <w:r>
        <w:t xml:space="preserve">y or similar laws. It further acknowledges and agrees that if it causes the filing of a petition in bankruptcy against the Issuer, the Co-Issuer, the Income Note Issuer or any Tax Subsidiary prior to the expiration of the period specified in the preceding </w:t>
      </w:r>
      <w:r>
        <w:t>sentence,</w:t>
      </w:r>
      <w:r>
        <w:rPr>
          <w:spacing w:val="8"/>
        </w:rPr>
        <w:t xml:space="preserve"> </w:t>
      </w:r>
      <w:r>
        <w:t>any</w:t>
      </w:r>
      <w:r>
        <w:rPr>
          <w:spacing w:val="9"/>
        </w:rPr>
        <w:t xml:space="preserve"> </w:t>
      </w:r>
      <w:r>
        <w:t>claim</w:t>
      </w:r>
      <w:r>
        <w:rPr>
          <w:spacing w:val="7"/>
        </w:rPr>
        <w:t xml:space="preserve"> </w:t>
      </w:r>
      <w:r>
        <w:t>that</w:t>
      </w:r>
      <w:r>
        <w:rPr>
          <w:spacing w:val="8"/>
        </w:rPr>
        <w:t xml:space="preserve"> </w:t>
      </w:r>
      <w:r>
        <w:t>it</w:t>
      </w:r>
      <w:r>
        <w:rPr>
          <w:spacing w:val="9"/>
        </w:rPr>
        <w:t xml:space="preserve"> </w:t>
      </w:r>
      <w:r>
        <w:t>has</w:t>
      </w:r>
      <w:r>
        <w:rPr>
          <w:spacing w:val="9"/>
        </w:rPr>
        <w:t xml:space="preserve"> </w:t>
      </w:r>
      <w:r>
        <w:t>against</w:t>
      </w:r>
      <w:r>
        <w:rPr>
          <w:spacing w:val="8"/>
        </w:rPr>
        <w:t xml:space="preserve"> </w:t>
      </w:r>
      <w:r>
        <w:t>the</w:t>
      </w:r>
      <w:r>
        <w:rPr>
          <w:spacing w:val="9"/>
        </w:rPr>
        <w:t xml:space="preserve"> </w:t>
      </w:r>
      <w:r>
        <w:t>Issuers</w:t>
      </w:r>
      <w:r>
        <w:rPr>
          <w:spacing w:val="9"/>
        </w:rPr>
        <w:t xml:space="preserve"> </w:t>
      </w:r>
      <w:r>
        <w:t>or</w:t>
      </w:r>
      <w:r>
        <w:rPr>
          <w:spacing w:val="8"/>
        </w:rPr>
        <w:t xml:space="preserve"> </w:t>
      </w:r>
      <w:r>
        <w:t>the</w:t>
      </w:r>
      <w:r>
        <w:rPr>
          <w:spacing w:val="9"/>
        </w:rPr>
        <w:t xml:space="preserve"> </w:t>
      </w:r>
      <w:r>
        <w:t>Income</w:t>
      </w:r>
      <w:r>
        <w:rPr>
          <w:spacing w:val="11"/>
        </w:rPr>
        <w:t xml:space="preserve"> </w:t>
      </w:r>
      <w:r>
        <w:t>Note</w:t>
      </w:r>
      <w:r>
        <w:rPr>
          <w:spacing w:val="8"/>
        </w:rPr>
        <w:t xml:space="preserve"> </w:t>
      </w:r>
      <w:r>
        <w:t>Issuer</w:t>
      </w:r>
      <w:r>
        <w:rPr>
          <w:spacing w:val="9"/>
        </w:rPr>
        <w:t xml:space="preserve"> </w:t>
      </w:r>
      <w:r>
        <w:t>(including</w:t>
      </w:r>
      <w:r>
        <w:rPr>
          <w:spacing w:val="9"/>
        </w:rPr>
        <w:t xml:space="preserve"> </w:t>
      </w:r>
      <w:r>
        <w:t>under</w:t>
      </w:r>
      <w:r>
        <w:rPr>
          <w:spacing w:val="9"/>
        </w:rPr>
        <w:t xml:space="preserve"> </w:t>
      </w:r>
      <w:r>
        <w:rPr>
          <w:spacing w:val="-5"/>
        </w:rPr>
        <w:t>all</w:t>
      </w:r>
    </w:p>
    <w:p w14:paraId="26C7FC5B" w14:textId="77777777" w:rsidR="00406550" w:rsidRDefault="00406550">
      <w:pPr>
        <w:sectPr w:rsidR="00406550">
          <w:pgSz w:w="12240" w:h="15840"/>
          <w:pgMar w:top="1360" w:right="1320" w:bottom="980" w:left="1320" w:header="0" w:footer="789" w:gutter="0"/>
          <w:cols w:space="720"/>
        </w:sectPr>
      </w:pPr>
    </w:p>
    <w:p w14:paraId="6128EFA5" w14:textId="77777777" w:rsidR="00406550" w:rsidRDefault="001B59CE">
      <w:pPr>
        <w:pStyle w:val="BodyText"/>
        <w:spacing w:before="76"/>
        <w:ind w:right="115"/>
      </w:pPr>
      <w:r>
        <w:lastRenderedPageBreak/>
        <w:t>Secured Debt of any Class held by it) or any Tax Subsidiary or with respect to any Collateral (including any proceeds thereof) will, notwithstanding anything to the contrary in the Priority of Payments and notwithstanding any</w:t>
      </w:r>
      <w:r>
        <w:rPr>
          <w:spacing w:val="-1"/>
        </w:rPr>
        <w:t xml:space="preserve"> </w:t>
      </w:r>
      <w:r>
        <w:t>objection</w:t>
      </w:r>
      <w:r>
        <w:rPr>
          <w:spacing w:val="-1"/>
        </w:rPr>
        <w:t xml:space="preserve"> </w:t>
      </w:r>
      <w:r>
        <w:t>to,</w:t>
      </w:r>
      <w:r>
        <w:rPr>
          <w:spacing w:val="-1"/>
        </w:rPr>
        <w:t xml:space="preserve"> </w:t>
      </w:r>
      <w:r>
        <w:t>or rescission of</w:t>
      </w:r>
      <w:r>
        <w:t>, such filing, be fully</w:t>
      </w:r>
      <w:r>
        <w:rPr>
          <w:spacing w:val="-1"/>
        </w:rPr>
        <w:t xml:space="preserve"> </w:t>
      </w:r>
      <w:r>
        <w:t>subordinate in right of payment to the claims of each Holder or beneficial owner of any Secured Debt that is not a Filing</w:t>
      </w:r>
      <w:r>
        <w:rPr>
          <w:spacing w:val="-2"/>
        </w:rPr>
        <w:t xml:space="preserve"> </w:t>
      </w:r>
      <w:r>
        <w:t>Holder (and</w:t>
      </w:r>
      <w:r>
        <w:rPr>
          <w:spacing w:val="-2"/>
        </w:rPr>
        <w:t xml:space="preserve"> </w:t>
      </w:r>
      <w:r>
        <w:t>each other secured creditor of the Issuer), with such subordination being effective until all Secu</w:t>
      </w:r>
      <w:r>
        <w:t>red Debt held by each Holder or beneficial owner that is not a Filing Holder (and each claim of each other secured creditor of the Issuer) is paid in full in accordance with the Priority of Payments (after giving effect to such subordination). This agreeme</w:t>
      </w:r>
      <w:r>
        <w:t>nt will constitute a “subordination agreement” within the meaning of Section 510(a) of the Bankruptcy Code.</w:t>
      </w:r>
      <w:r>
        <w:rPr>
          <w:spacing w:val="40"/>
        </w:rPr>
        <w:t xml:space="preserve"> </w:t>
      </w:r>
      <w:r>
        <w:t>The Income Note Issuer will direct the Income Note Paying Agent to segregate payments and take other reasonable steps to effect the foregoing.</w:t>
      </w:r>
      <w:r>
        <w:rPr>
          <w:spacing w:val="80"/>
        </w:rPr>
        <w:t xml:space="preserve"> </w:t>
      </w:r>
      <w:r>
        <w:t>In or</w:t>
      </w:r>
      <w:r>
        <w:t>der to give effect to the foregoing, the Income Note Issuer may, to the extent necessary, obtain and assign a separate CUSIP or CUSIPs to the Income Notes held by each Filing Holder.</w:t>
      </w:r>
    </w:p>
    <w:p w14:paraId="7A7E7CCE" w14:textId="77777777" w:rsidR="00406550" w:rsidRDefault="001B59CE">
      <w:pPr>
        <w:pStyle w:val="ListParagraph"/>
        <w:numPr>
          <w:ilvl w:val="0"/>
          <w:numId w:val="7"/>
        </w:numPr>
        <w:tabs>
          <w:tab w:val="left" w:pos="688"/>
        </w:tabs>
        <w:spacing w:before="200"/>
        <w:ind w:right="116" w:firstLine="0"/>
        <w:jc w:val="both"/>
        <w:rPr>
          <w:sz w:val="24"/>
        </w:rPr>
      </w:pPr>
      <w:r>
        <w:rPr>
          <w:sz w:val="24"/>
        </w:rPr>
        <w:t>It understands and agrees that such Income Notes represent unsecured debt</w:t>
      </w:r>
      <w:r>
        <w:rPr>
          <w:sz w:val="24"/>
        </w:rPr>
        <w:t xml:space="preserve"> obligations of the Income Note Issuer and are not secured by the Collateral.</w:t>
      </w:r>
    </w:p>
    <w:p w14:paraId="6186F24E" w14:textId="77777777" w:rsidR="00406550" w:rsidRDefault="001B59CE">
      <w:pPr>
        <w:pStyle w:val="ListParagraph"/>
        <w:numPr>
          <w:ilvl w:val="0"/>
          <w:numId w:val="7"/>
        </w:numPr>
        <w:tabs>
          <w:tab w:val="left" w:pos="688"/>
        </w:tabs>
        <w:spacing w:before="200"/>
        <w:ind w:right="119" w:firstLine="0"/>
        <w:jc w:val="both"/>
        <w:rPr>
          <w:sz w:val="24"/>
        </w:rPr>
      </w:pPr>
      <w:r>
        <w:rPr>
          <w:sz w:val="24"/>
        </w:rPr>
        <w:t>It acknowledges and agrees that the Income Note Issuer has the right to compel any Non- Permitted Holder to sell its interest in such Income Notes or to sell such interest on beh</w:t>
      </w:r>
      <w:r>
        <w:rPr>
          <w:sz w:val="24"/>
        </w:rPr>
        <w:t>alf of</w:t>
      </w:r>
      <w:r>
        <w:rPr>
          <w:spacing w:val="40"/>
          <w:sz w:val="24"/>
        </w:rPr>
        <w:t xml:space="preserve"> </w:t>
      </w:r>
      <w:r>
        <w:rPr>
          <w:sz w:val="24"/>
        </w:rPr>
        <w:t>such Non-Permitted Holder.</w:t>
      </w:r>
    </w:p>
    <w:p w14:paraId="110A83C3" w14:textId="77777777" w:rsidR="00406550" w:rsidRDefault="001B59CE">
      <w:pPr>
        <w:pStyle w:val="ListParagraph"/>
        <w:numPr>
          <w:ilvl w:val="0"/>
          <w:numId w:val="7"/>
        </w:numPr>
        <w:tabs>
          <w:tab w:val="left" w:pos="688"/>
        </w:tabs>
        <w:ind w:firstLine="0"/>
        <w:jc w:val="both"/>
        <w:rPr>
          <w:sz w:val="24"/>
        </w:rPr>
      </w:pPr>
      <w:r>
        <w:rPr>
          <w:sz w:val="24"/>
        </w:rPr>
        <w:t>It understands that (A) the Collateral Trustee, the Income Note Paying Agent and the Bank in its other capacities under the Transaction Documents will be required to provide certain information to the Issuer, the Income No</w:t>
      </w:r>
      <w:r>
        <w:rPr>
          <w:sz w:val="24"/>
        </w:rPr>
        <w:t>te Issuer and the Collateral Manager regarding the Holders and beneficial owners of the Income Notes (including, without limitation, the identity of the Holders as contained in the Income Note Register and, unless any such beneficial owner instructs</w:t>
      </w:r>
      <w:r>
        <w:rPr>
          <w:spacing w:val="-2"/>
          <w:sz w:val="24"/>
        </w:rPr>
        <w:t xml:space="preserve"> </w:t>
      </w:r>
      <w:r>
        <w:rPr>
          <w:sz w:val="24"/>
        </w:rPr>
        <w:t>the</w:t>
      </w:r>
      <w:r>
        <w:rPr>
          <w:spacing w:val="-2"/>
          <w:sz w:val="24"/>
        </w:rPr>
        <w:t xml:space="preserve"> </w:t>
      </w:r>
      <w:r>
        <w:rPr>
          <w:sz w:val="24"/>
        </w:rPr>
        <w:t>In</w:t>
      </w:r>
      <w:r>
        <w:rPr>
          <w:sz w:val="24"/>
        </w:rPr>
        <w:t>come Note</w:t>
      </w:r>
      <w:r>
        <w:rPr>
          <w:spacing w:val="-2"/>
          <w:sz w:val="24"/>
        </w:rPr>
        <w:t xml:space="preserve"> </w:t>
      </w:r>
      <w:r>
        <w:rPr>
          <w:sz w:val="24"/>
        </w:rPr>
        <w:t>Paying</w:t>
      </w:r>
      <w:r>
        <w:rPr>
          <w:spacing w:val="-1"/>
          <w:sz w:val="24"/>
        </w:rPr>
        <w:t xml:space="preserve"> </w:t>
      </w:r>
      <w:r>
        <w:rPr>
          <w:sz w:val="24"/>
        </w:rPr>
        <w:t>Agent</w:t>
      </w:r>
      <w:r>
        <w:rPr>
          <w:spacing w:val="-2"/>
          <w:sz w:val="24"/>
        </w:rPr>
        <w:t xml:space="preserve"> </w:t>
      </w:r>
      <w:r>
        <w:rPr>
          <w:sz w:val="24"/>
        </w:rPr>
        <w:t>otherwise,</w:t>
      </w:r>
      <w:r>
        <w:rPr>
          <w:spacing w:val="-2"/>
          <w:sz w:val="24"/>
        </w:rPr>
        <w:t xml:space="preserve"> </w:t>
      </w:r>
      <w:r>
        <w:rPr>
          <w:sz w:val="24"/>
        </w:rPr>
        <w:t>the</w:t>
      </w:r>
      <w:r>
        <w:rPr>
          <w:spacing w:val="-2"/>
          <w:sz w:val="24"/>
        </w:rPr>
        <w:t xml:space="preserve"> </w:t>
      </w:r>
      <w:r>
        <w:rPr>
          <w:sz w:val="24"/>
        </w:rPr>
        <w:t>identity</w:t>
      </w:r>
      <w:r>
        <w:rPr>
          <w:spacing w:val="-2"/>
          <w:sz w:val="24"/>
        </w:rPr>
        <w:t xml:space="preserve"> </w:t>
      </w:r>
      <w:r>
        <w:rPr>
          <w:sz w:val="24"/>
        </w:rPr>
        <w:t>of</w:t>
      </w:r>
      <w:r>
        <w:rPr>
          <w:spacing w:val="-2"/>
          <w:sz w:val="24"/>
        </w:rPr>
        <w:t xml:space="preserve"> </w:t>
      </w:r>
      <w:r>
        <w:rPr>
          <w:sz w:val="24"/>
        </w:rPr>
        <w:t>each</w:t>
      </w:r>
      <w:r>
        <w:rPr>
          <w:spacing w:val="-2"/>
          <w:sz w:val="24"/>
        </w:rPr>
        <w:t xml:space="preserve"> </w:t>
      </w:r>
      <w:r>
        <w:rPr>
          <w:sz w:val="24"/>
        </w:rPr>
        <w:t>beneficial</w:t>
      </w:r>
      <w:r>
        <w:rPr>
          <w:spacing w:val="-2"/>
          <w:sz w:val="24"/>
        </w:rPr>
        <w:t xml:space="preserve"> </w:t>
      </w:r>
      <w:r>
        <w:rPr>
          <w:sz w:val="24"/>
        </w:rPr>
        <w:t>owner)</w:t>
      </w:r>
      <w:r>
        <w:rPr>
          <w:spacing w:val="-2"/>
          <w:sz w:val="24"/>
        </w:rPr>
        <w:t xml:space="preserve"> </w:t>
      </w:r>
      <w:r>
        <w:rPr>
          <w:sz w:val="24"/>
        </w:rPr>
        <w:t>and</w:t>
      </w:r>
      <w:r>
        <w:rPr>
          <w:spacing w:val="-2"/>
          <w:sz w:val="24"/>
        </w:rPr>
        <w:t xml:space="preserve"> </w:t>
      </w:r>
      <w:r>
        <w:rPr>
          <w:sz w:val="24"/>
        </w:rPr>
        <w:t>(B) none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Collateral</w:t>
      </w:r>
      <w:r>
        <w:rPr>
          <w:spacing w:val="-2"/>
          <w:sz w:val="24"/>
        </w:rPr>
        <w:t xml:space="preserve"> </w:t>
      </w:r>
      <w:r>
        <w:rPr>
          <w:sz w:val="24"/>
        </w:rPr>
        <w:t>Trustee,</w:t>
      </w:r>
      <w:r>
        <w:rPr>
          <w:spacing w:val="-2"/>
          <w:sz w:val="24"/>
        </w:rPr>
        <w:t xml:space="preserve"> </w:t>
      </w:r>
      <w:r>
        <w:rPr>
          <w:sz w:val="24"/>
        </w:rPr>
        <w:t>the</w:t>
      </w:r>
      <w:r>
        <w:rPr>
          <w:spacing w:val="-2"/>
          <w:sz w:val="24"/>
        </w:rPr>
        <w:t xml:space="preserve"> </w:t>
      </w:r>
      <w:r>
        <w:rPr>
          <w:sz w:val="24"/>
        </w:rPr>
        <w:t>Income</w:t>
      </w:r>
      <w:r>
        <w:rPr>
          <w:spacing w:val="-2"/>
          <w:sz w:val="24"/>
        </w:rPr>
        <w:t xml:space="preserve"> </w:t>
      </w:r>
      <w:r>
        <w:rPr>
          <w:sz w:val="24"/>
        </w:rPr>
        <w:t>Note</w:t>
      </w:r>
      <w:r>
        <w:rPr>
          <w:spacing w:val="-2"/>
          <w:sz w:val="24"/>
        </w:rPr>
        <w:t xml:space="preserve"> </w:t>
      </w:r>
      <w:r>
        <w:rPr>
          <w:sz w:val="24"/>
        </w:rPr>
        <w:t>Paying</w:t>
      </w:r>
      <w:r>
        <w:rPr>
          <w:spacing w:val="-2"/>
          <w:sz w:val="24"/>
        </w:rPr>
        <w:t xml:space="preserve"> </w:t>
      </w:r>
      <w:r>
        <w:rPr>
          <w:sz w:val="24"/>
        </w:rPr>
        <w:t>Agent</w:t>
      </w:r>
      <w:r>
        <w:rPr>
          <w:spacing w:val="-2"/>
          <w:sz w:val="24"/>
        </w:rPr>
        <w:t xml:space="preserve"> </w:t>
      </w:r>
      <w:r>
        <w:rPr>
          <w:sz w:val="24"/>
        </w:rPr>
        <w:t>or the</w:t>
      </w:r>
      <w:r>
        <w:rPr>
          <w:spacing w:val="-2"/>
          <w:sz w:val="24"/>
        </w:rPr>
        <w:t xml:space="preserve"> </w:t>
      </w:r>
      <w:r>
        <w:rPr>
          <w:sz w:val="24"/>
        </w:rPr>
        <w:t>Bank</w:t>
      </w:r>
      <w:r>
        <w:rPr>
          <w:spacing w:val="-2"/>
          <w:sz w:val="24"/>
        </w:rPr>
        <w:t xml:space="preserve"> </w:t>
      </w:r>
      <w:r>
        <w:rPr>
          <w:sz w:val="24"/>
        </w:rPr>
        <w:t>in</w:t>
      </w:r>
      <w:r>
        <w:rPr>
          <w:spacing w:val="-2"/>
          <w:sz w:val="24"/>
        </w:rPr>
        <w:t xml:space="preserve"> </w:t>
      </w:r>
      <w:r>
        <w:rPr>
          <w:sz w:val="24"/>
        </w:rPr>
        <w:t>any</w:t>
      </w:r>
      <w:r>
        <w:rPr>
          <w:spacing w:val="-2"/>
          <w:sz w:val="24"/>
        </w:rPr>
        <w:t xml:space="preserve"> </w:t>
      </w:r>
      <w:r>
        <w:rPr>
          <w:sz w:val="24"/>
        </w:rPr>
        <w:t>of</w:t>
      </w:r>
      <w:r>
        <w:rPr>
          <w:spacing w:val="-3"/>
          <w:sz w:val="24"/>
        </w:rPr>
        <w:t xml:space="preserve"> </w:t>
      </w:r>
      <w:r>
        <w:rPr>
          <w:sz w:val="24"/>
        </w:rPr>
        <w:t>its</w:t>
      </w:r>
      <w:r>
        <w:rPr>
          <w:spacing w:val="-1"/>
          <w:sz w:val="24"/>
        </w:rPr>
        <w:t xml:space="preserve"> </w:t>
      </w:r>
      <w:r>
        <w:rPr>
          <w:sz w:val="24"/>
        </w:rPr>
        <w:t>capacities will have any liability for any such disclosure or, subject to its respective duties and responsibilities set forth in the applicable Transaction Documents, for the accuracy thereof.</w:t>
      </w:r>
    </w:p>
    <w:p w14:paraId="5B6D991E" w14:textId="77777777" w:rsidR="00406550" w:rsidRDefault="001B59CE">
      <w:pPr>
        <w:pStyle w:val="ListParagraph"/>
        <w:numPr>
          <w:ilvl w:val="0"/>
          <w:numId w:val="7"/>
        </w:numPr>
        <w:tabs>
          <w:tab w:val="left" w:pos="688"/>
        </w:tabs>
        <w:spacing w:before="199"/>
        <w:ind w:firstLine="0"/>
        <w:jc w:val="both"/>
        <w:rPr>
          <w:sz w:val="24"/>
        </w:rPr>
      </w:pPr>
      <w:r>
        <w:rPr>
          <w:sz w:val="24"/>
        </w:rPr>
        <w:t>It agrees to provide to the Issuer, the Income Note Issuer and</w:t>
      </w:r>
      <w:r>
        <w:rPr>
          <w:sz w:val="24"/>
        </w:rPr>
        <w:t xml:space="preserve"> the Collateral Manager all information reasonably available to</w:t>
      </w:r>
      <w:r>
        <w:rPr>
          <w:spacing w:val="-2"/>
          <w:sz w:val="24"/>
        </w:rPr>
        <w:t xml:space="preserve"> </w:t>
      </w:r>
      <w:r>
        <w:rPr>
          <w:sz w:val="24"/>
        </w:rPr>
        <w:t>it that is</w:t>
      </w:r>
      <w:r>
        <w:rPr>
          <w:spacing w:val="-2"/>
          <w:sz w:val="24"/>
        </w:rPr>
        <w:t xml:space="preserve"> </w:t>
      </w:r>
      <w:r>
        <w:rPr>
          <w:sz w:val="24"/>
        </w:rPr>
        <w:t>reasonably requested by the Issuer, the</w:t>
      </w:r>
      <w:r>
        <w:rPr>
          <w:spacing w:val="-2"/>
          <w:sz w:val="24"/>
        </w:rPr>
        <w:t xml:space="preserve"> </w:t>
      </w:r>
      <w:r>
        <w:rPr>
          <w:sz w:val="24"/>
        </w:rPr>
        <w:t>Income Note Issuer or the Collateral Manager in connection with regulatory matters, including any</w:t>
      </w:r>
      <w:r>
        <w:rPr>
          <w:spacing w:val="40"/>
          <w:sz w:val="24"/>
        </w:rPr>
        <w:t xml:space="preserve"> </w:t>
      </w:r>
      <w:r>
        <w:rPr>
          <w:sz w:val="24"/>
        </w:rPr>
        <w:t xml:space="preserve">information that is necessary or advisable </w:t>
      </w:r>
      <w:r>
        <w:rPr>
          <w:sz w:val="24"/>
        </w:rPr>
        <w:t>in order for the Issuer, the Income Note Issuer or the Collateral Manager (or its parent or Affiliates) to comply with regulatory requirements</w:t>
      </w:r>
      <w:r>
        <w:rPr>
          <w:spacing w:val="40"/>
          <w:sz w:val="24"/>
        </w:rPr>
        <w:t xml:space="preserve"> </w:t>
      </w:r>
      <w:r>
        <w:rPr>
          <w:sz w:val="24"/>
        </w:rPr>
        <w:t>applicable to the Issuer, the Income Note Issuer or the Collateral Manager (or its parent or Affiliates) from tim</w:t>
      </w:r>
      <w:r>
        <w:rPr>
          <w:sz w:val="24"/>
        </w:rPr>
        <w:t>e to time.</w:t>
      </w:r>
    </w:p>
    <w:p w14:paraId="16980677" w14:textId="77777777" w:rsidR="00406550" w:rsidRDefault="001B59CE">
      <w:pPr>
        <w:pStyle w:val="ListParagraph"/>
        <w:numPr>
          <w:ilvl w:val="0"/>
          <w:numId w:val="7"/>
        </w:numPr>
        <w:tabs>
          <w:tab w:val="left" w:pos="660"/>
        </w:tabs>
        <w:spacing w:line="264" w:lineRule="auto"/>
        <w:ind w:right="116" w:firstLine="0"/>
        <w:jc w:val="both"/>
        <w:rPr>
          <w:sz w:val="24"/>
        </w:rPr>
      </w:pPr>
      <w:r>
        <w:rPr>
          <w:sz w:val="24"/>
        </w:rPr>
        <w:t>It understands that, subject to certain exceptions set forth in the Income Note Paying Agency Agreement, all information delivered to it by or on behalf of the Income Note Paying Agent in connection with and relating to the transactions contempl</w:t>
      </w:r>
      <w:r>
        <w:rPr>
          <w:sz w:val="24"/>
        </w:rPr>
        <w:t>ated by the Income Note Paying Agency Agreement (including, without limitation, the information contained in the reports made available to such holder on the Income Note Issuer’s website (which may be the Collateral Administrator’s website)) is confidentia</w:t>
      </w:r>
      <w:r>
        <w:rPr>
          <w:sz w:val="24"/>
        </w:rPr>
        <w:t>l.</w:t>
      </w:r>
      <w:r>
        <w:rPr>
          <w:spacing w:val="40"/>
          <w:sz w:val="24"/>
        </w:rPr>
        <w:t xml:space="preserve"> </w:t>
      </w:r>
      <w:r>
        <w:rPr>
          <w:sz w:val="24"/>
        </w:rPr>
        <w:t>It agrees that, except as expressly permitted by the Income Note Paying Agency Agreement, it will use such information for the sole purpose of</w:t>
      </w:r>
      <w:r>
        <w:rPr>
          <w:spacing w:val="1"/>
          <w:sz w:val="24"/>
        </w:rPr>
        <w:t xml:space="preserve"> </w:t>
      </w:r>
      <w:r>
        <w:rPr>
          <w:sz w:val="24"/>
        </w:rPr>
        <w:t>administering</w:t>
      </w:r>
      <w:r>
        <w:rPr>
          <w:spacing w:val="4"/>
          <w:sz w:val="24"/>
        </w:rPr>
        <w:t xml:space="preserve"> </w:t>
      </w:r>
      <w:r>
        <w:rPr>
          <w:sz w:val="24"/>
        </w:rPr>
        <w:t>its</w:t>
      </w:r>
      <w:r>
        <w:rPr>
          <w:spacing w:val="4"/>
          <w:sz w:val="24"/>
        </w:rPr>
        <w:t xml:space="preserve"> </w:t>
      </w:r>
      <w:r>
        <w:rPr>
          <w:sz w:val="24"/>
        </w:rPr>
        <w:t>investment</w:t>
      </w:r>
      <w:r>
        <w:rPr>
          <w:spacing w:val="3"/>
          <w:sz w:val="24"/>
        </w:rPr>
        <w:t xml:space="preserve"> </w:t>
      </w:r>
      <w:r>
        <w:rPr>
          <w:sz w:val="24"/>
        </w:rPr>
        <w:t>in</w:t>
      </w:r>
      <w:r>
        <w:rPr>
          <w:spacing w:val="3"/>
          <w:sz w:val="24"/>
        </w:rPr>
        <w:t xml:space="preserve"> </w:t>
      </w:r>
      <w:r>
        <w:rPr>
          <w:sz w:val="24"/>
        </w:rPr>
        <w:t>such</w:t>
      </w:r>
      <w:r>
        <w:rPr>
          <w:spacing w:val="3"/>
          <w:sz w:val="24"/>
        </w:rPr>
        <w:t xml:space="preserve"> </w:t>
      </w:r>
      <w:r>
        <w:rPr>
          <w:sz w:val="24"/>
        </w:rPr>
        <w:t>Income</w:t>
      </w:r>
      <w:r>
        <w:rPr>
          <w:spacing w:val="3"/>
          <w:sz w:val="24"/>
        </w:rPr>
        <w:t xml:space="preserve"> </w:t>
      </w:r>
      <w:r>
        <w:rPr>
          <w:sz w:val="24"/>
        </w:rPr>
        <w:t>Notes</w:t>
      </w:r>
      <w:r>
        <w:rPr>
          <w:spacing w:val="3"/>
          <w:sz w:val="24"/>
        </w:rPr>
        <w:t xml:space="preserve"> </w:t>
      </w:r>
      <w:r>
        <w:rPr>
          <w:sz w:val="24"/>
        </w:rPr>
        <w:t>and</w:t>
      </w:r>
      <w:r>
        <w:rPr>
          <w:spacing w:val="3"/>
          <w:sz w:val="24"/>
        </w:rPr>
        <w:t xml:space="preserve"> </w:t>
      </w:r>
      <w:r>
        <w:rPr>
          <w:sz w:val="24"/>
        </w:rPr>
        <w:t>that,</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extent</w:t>
      </w:r>
      <w:r>
        <w:rPr>
          <w:spacing w:val="3"/>
          <w:sz w:val="24"/>
        </w:rPr>
        <w:t xml:space="preserve"> </w:t>
      </w:r>
      <w:r>
        <w:rPr>
          <w:sz w:val="24"/>
        </w:rPr>
        <w:t>it</w:t>
      </w:r>
      <w:r>
        <w:rPr>
          <w:spacing w:val="3"/>
          <w:sz w:val="24"/>
        </w:rPr>
        <w:t xml:space="preserve"> </w:t>
      </w:r>
      <w:r>
        <w:rPr>
          <w:sz w:val="24"/>
        </w:rPr>
        <w:t>discloses</w:t>
      </w:r>
      <w:r>
        <w:rPr>
          <w:spacing w:val="3"/>
          <w:sz w:val="24"/>
        </w:rPr>
        <w:t xml:space="preserve"> </w:t>
      </w:r>
      <w:r>
        <w:rPr>
          <w:sz w:val="24"/>
        </w:rPr>
        <w:t>any</w:t>
      </w:r>
      <w:r>
        <w:rPr>
          <w:spacing w:val="4"/>
          <w:sz w:val="24"/>
        </w:rPr>
        <w:t xml:space="preserve"> </w:t>
      </w:r>
      <w:r>
        <w:rPr>
          <w:spacing w:val="-4"/>
          <w:sz w:val="24"/>
        </w:rPr>
        <w:t>such</w:t>
      </w:r>
    </w:p>
    <w:p w14:paraId="613CD2A7" w14:textId="77777777" w:rsidR="00406550" w:rsidRDefault="00406550">
      <w:pPr>
        <w:spacing w:line="264" w:lineRule="auto"/>
        <w:jc w:val="both"/>
        <w:rPr>
          <w:sz w:val="24"/>
        </w:rPr>
        <w:sectPr w:rsidR="00406550">
          <w:pgSz w:w="12240" w:h="15840"/>
          <w:pgMar w:top="1360" w:right="1320" w:bottom="980" w:left="1320" w:header="0" w:footer="789" w:gutter="0"/>
          <w:cols w:space="720"/>
        </w:sectPr>
      </w:pPr>
    </w:p>
    <w:p w14:paraId="756A3F2F" w14:textId="77777777" w:rsidR="00406550" w:rsidRDefault="001B59CE">
      <w:pPr>
        <w:pStyle w:val="BodyText"/>
        <w:spacing w:before="76" w:line="264" w:lineRule="auto"/>
        <w:ind w:right="115"/>
        <w:jc w:val="left"/>
      </w:pPr>
      <w:r>
        <w:lastRenderedPageBreak/>
        <w:t>information</w:t>
      </w:r>
      <w:r>
        <w:rPr>
          <w:spacing w:val="77"/>
        </w:rPr>
        <w:t xml:space="preserve"> </w:t>
      </w:r>
      <w:r>
        <w:t>in</w:t>
      </w:r>
      <w:r>
        <w:rPr>
          <w:spacing w:val="77"/>
        </w:rPr>
        <w:t xml:space="preserve"> </w:t>
      </w:r>
      <w:r>
        <w:t>accordance</w:t>
      </w:r>
      <w:r>
        <w:rPr>
          <w:spacing w:val="77"/>
        </w:rPr>
        <w:t xml:space="preserve"> </w:t>
      </w:r>
      <w:r>
        <w:t>with</w:t>
      </w:r>
      <w:r>
        <w:rPr>
          <w:spacing w:val="77"/>
        </w:rPr>
        <w:t xml:space="preserve"> </w:t>
      </w:r>
      <w:r>
        <w:t>the</w:t>
      </w:r>
      <w:r>
        <w:rPr>
          <w:spacing w:val="77"/>
        </w:rPr>
        <w:t xml:space="preserve"> </w:t>
      </w:r>
      <w:r>
        <w:t>Income</w:t>
      </w:r>
      <w:r>
        <w:rPr>
          <w:spacing w:val="78"/>
        </w:rPr>
        <w:t xml:space="preserve"> </w:t>
      </w:r>
      <w:r>
        <w:t>Note</w:t>
      </w:r>
      <w:r>
        <w:rPr>
          <w:spacing w:val="77"/>
        </w:rPr>
        <w:t xml:space="preserve"> </w:t>
      </w:r>
      <w:r>
        <w:t>Paying</w:t>
      </w:r>
      <w:r>
        <w:rPr>
          <w:spacing w:val="77"/>
        </w:rPr>
        <w:t xml:space="preserve"> </w:t>
      </w:r>
      <w:r>
        <w:t>Agency</w:t>
      </w:r>
      <w:r>
        <w:rPr>
          <w:spacing w:val="78"/>
        </w:rPr>
        <w:t xml:space="preserve"> </w:t>
      </w:r>
      <w:r>
        <w:t>Agreement,</w:t>
      </w:r>
      <w:r>
        <w:rPr>
          <w:spacing w:val="77"/>
        </w:rPr>
        <w:t xml:space="preserve"> </w:t>
      </w:r>
      <w:r>
        <w:t>it</w:t>
      </w:r>
      <w:r>
        <w:rPr>
          <w:spacing w:val="77"/>
        </w:rPr>
        <w:t xml:space="preserve"> </w:t>
      </w:r>
      <w:r>
        <w:t>will</w:t>
      </w:r>
      <w:r>
        <w:rPr>
          <w:spacing w:val="77"/>
        </w:rPr>
        <w:t xml:space="preserve"> </w:t>
      </w:r>
      <w:r>
        <w:t>use reasonable efforts to protect the confidentiality of such information.</w:t>
      </w:r>
    </w:p>
    <w:p w14:paraId="0806EB35" w14:textId="77777777" w:rsidR="00406550" w:rsidRDefault="001B59CE">
      <w:pPr>
        <w:pStyle w:val="ListParagraph"/>
        <w:numPr>
          <w:ilvl w:val="0"/>
          <w:numId w:val="7"/>
        </w:numPr>
        <w:tabs>
          <w:tab w:val="left" w:pos="688"/>
        </w:tabs>
        <w:spacing w:before="120"/>
        <w:ind w:left="687" w:right="0"/>
        <w:jc w:val="both"/>
        <w:rPr>
          <w:sz w:val="24"/>
        </w:rPr>
      </w:pPr>
      <w:r>
        <w:rPr>
          <w:sz w:val="24"/>
        </w:rPr>
        <w:t>It</w:t>
      </w:r>
      <w:r>
        <w:rPr>
          <w:spacing w:val="-4"/>
          <w:sz w:val="24"/>
        </w:rPr>
        <w:t xml:space="preserve"> </w:t>
      </w:r>
      <w:r>
        <w:rPr>
          <w:sz w:val="24"/>
        </w:rPr>
        <w:t>is</w:t>
      </w:r>
      <w:r>
        <w:rPr>
          <w:spacing w:val="-1"/>
          <w:sz w:val="24"/>
        </w:rPr>
        <w:t xml:space="preserve"> </w:t>
      </w:r>
      <w:r>
        <w:rPr>
          <w:sz w:val="24"/>
        </w:rPr>
        <w:t>not</w:t>
      </w:r>
      <w:r>
        <w:rPr>
          <w:spacing w:val="-1"/>
          <w:sz w:val="24"/>
        </w:rPr>
        <w:t xml:space="preserve"> </w:t>
      </w:r>
      <w:r>
        <w:rPr>
          <w:sz w:val="24"/>
        </w:rPr>
        <w:t>a</w:t>
      </w:r>
      <w:r>
        <w:rPr>
          <w:spacing w:val="-2"/>
          <w:sz w:val="24"/>
        </w:rPr>
        <w:t xml:space="preserve"> </w:t>
      </w:r>
      <w:r>
        <w:rPr>
          <w:sz w:val="24"/>
        </w:rPr>
        <w:t>member</w:t>
      </w:r>
      <w:r>
        <w:rPr>
          <w:spacing w:val="-1"/>
          <w:sz w:val="24"/>
        </w:rPr>
        <w:t xml:space="preserve"> </w:t>
      </w:r>
      <w:r>
        <w:rPr>
          <w:sz w:val="24"/>
        </w:rPr>
        <w:t>of</w:t>
      </w:r>
      <w:r>
        <w:rPr>
          <w:spacing w:val="-1"/>
          <w:sz w:val="24"/>
        </w:rPr>
        <w:t xml:space="preserve"> </w:t>
      </w:r>
      <w:r>
        <w:rPr>
          <w:sz w:val="24"/>
        </w:rPr>
        <w:t>the public</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Cayman</w:t>
      </w:r>
      <w:r>
        <w:rPr>
          <w:spacing w:val="-2"/>
          <w:sz w:val="24"/>
        </w:rPr>
        <w:t xml:space="preserve"> Islands.</w:t>
      </w:r>
    </w:p>
    <w:p w14:paraId="0C7A10EC" w14:textId="77777777" w:rsidR="00406550" w:rsidRDefault="001B59CE">
      <w:pPr>
        <w:pStyle w:val="ListParagraph"/>
        <w:numPr>
          <w:ilvl w:val="0"/>
          <w:numId w:val="7"/>
        </w:numPr>
        <w:tabs>
          <w:tab w:val="left" w:pos="688"/>
        </w:tabs>
        <w:ind w:right="117" w:firstLine="0"/>
        <w:jc w:val="both"/>
        <w:rPr>
          <w:sz w:val="24"/>
        </w:rPr>
      </w:pPr>
      <w:r>
        <w:rPr>
          <w:sz w:val="24"/>
        </w:rPr>
        <w:t>It is not a person with whom dealings are res</w:t>
      </w:r>
      <w:r>
        <w:rPr>
          <w:sz w:val="24"/>
        </w:rPr>
        <w:t>tricted or prohibited under any law relating to economic sanctions or anti-money laundering of the United States, the European Union, Switzerland or any other applicable jurisdiction, and its purchase of such Income Notes will not result in the violation o</w:t>
      </w:r>
      <w:r>
        <w:rPr>
          <w:sz w:val="24"/>
        </w:rPr>
        <w:t>f any such law by any Transaction Party, whether as a result of the identity of it or its beneficial owners, their source of funds or otherwise.</w:t>
      </w:r>
    </w:p>
    <w:p w14:paraId="41E7D7D8" w14:textId="77777777" w:rsidR="00406550" w:rsidRDefault="001B59CE">
      <w:pPr>
        <w:pStyle w:val="ListParagraph"/>
        <w:numPr>
          <w:ilvl w:val="0"/>
          <w:numId w:val="7"/>
        </w:numPr>
        <w:tabs>
          <w:tab w:val="left" w:pos="689"/>
        </w:tabs>
        <w:spacing w:before="199"/>
        <w:ind w:firstLine="0"/>
        <w:jc w:val="both"/>
        <w:rPr>
          <w:sz w:val="24"/>
        </w:rPr>
      </w:pPr>
      <w:r>
        <w:rPr>
          <w:sz w:val="24"/>
        </w:rPr>
        <w:t>It agrees to provide upon request certifications acceptable to the Income Note Issuer to permit the Income Note</w:t>
      </w:r>
      <w:r>
        <w:rPr>
          <w:sz w:val="24"/>
        </w:rPr>
        <w:t xml:space="preserve"> Issuer to (A) make payments to it without, or at a reduced rate of, withholding, (B) qualify for a reduced rate of withholding in any jurisdiction from or through which the Income Note Issuer receives payments on its assets and (C) comply with applicable </w:t>
      </w:r>
      <w:r>
        <w:rPr>
          <w:spacing w:val="-4"/>
          <w:sz w:val="24"/>
        </w:rPr>
        <w:t>law.</w:t>
      </w:r>
    </w:p>
    <w:p w14:paraId="76505674" w14:textId="77777777" w:rsidR="00406550" w:rsidRDefault="001B59CE">
      <w:pPr>
        <w:pStyle w:val="ListParagraph"/>
        <w:numPr>
          <w:ilvl w:val="0"/>
          <w:numId w:val="7"/>
        </w:numPr>
        <w:tabs>
          <w:tab w:val="left" w:pos="688"/>
        </w:tabs>
        <w:ind w:right="116" w:firstLine="0"/>
        <w:jc w:val="both"/>
        <w:rPr>
          <w:sz w:val="24"/>
        </w:rPr>
      </w:pPr>
      <w:r>
        <w:rPr>
          <w:sz w:val="24"/>
        </w:rPr>
        <w:t>It has read and understands the summary of the U.S. federal income tax considerations contained in the Offering Memorandum as it relates to such Income Notes, and it represents that it will</w:t>
      </w:r>
      <w:r>
        <w:rPr>
          <w:spacing w:val="-2"/>
          <w:sz w:val="24"/>
        </w:rPr>
        <w:t xml:space="preserve"> </w:t>
      </w:r>
      <w:r>
        <w:rPr>
          <w:sz w:val="24"/>
        </w:rPr>
        <w:t>treat such Income Notes for U.S. tax purposes in</w:t>
      </w:r>
      <w:r>
        <w:rPr>
          <w:spacing w:val="-1"/>
          <w:sz w:val="24"/>
        </w:rPr>
        <w:t xml:space="preserve"> </w:t>
      </w:r>
      <w:r>
        <w:rPr>
          <w:sz w:val="24"/>
        </w:rPr>
        <w:t>a manner con</w:t>
      </w:r>
      <w:r>
        <w:rPr>
          <w:sz w:val="24"/>
        </w:rPr>
        <w:t>sistent with</w:t>
      </w:r>
      <w:r>
        <w:rPr>
          <w:spacing w:val="-2"/>
          <w:sz w:val="24"/>
        </w:rPr>
        <w:t xml:space="preserve"> </w:t>
      </w:r>
      <w:r>
        <w:rPr>
          <w:sz w:val="24"/>
        </w:rPr>
        <w:t>the</w:t>
      </w:r>
      <w:r>
        <w:rPr>
          <w:spacing w:val="-2"/>
          <w:sz w:val="24"/>
        </w:rPr>
        <w:t xml:space="preserve"> </w:t>
      </w:r>
      <w:r>
        <w:rPr>
          <w:sz w:val="24"/>
        </w:rPr>
        <w:t>treatment of such Income Notes by the Issuer and the Income Note Issuer described therein and will take no action</w:t>
      </w:r>
      <w:r>
        <w:rPr>
          <w:spacing w:val="-1"/>
          <w:sz w:val="24"/>
        </w:rPr>
        <w:t xml:space="preserve"> </w:t>
      </w:r>
      <w:r>
        <w:rPr>
          <w:sz w:val="24"/>
        </w:rPr>
        <w:t>inconsistent</w:t>
      </w:r>
      <w:r>
        <w:rPr>
          <w:spacing w:val="-1"/>
          <w:sz w:val="24"/>
        </w:rPr>
        <w:t xml:space="preserve"> </w:t>
      </w:r>
      <w:r>
        <w:rPr>
          <w:sz w:val="24"/>
        </w:rPr>
        <w:t>with</w:t>
      </w:r>
      <w:r>
        <w:rPr>
          <w:spacing w:val="-1"/>
          <w:sz w:val="24"/>
        </w:rPr>
        <w:t xml:space="preserve"> </w:t>
      </w:r>
      <w:r>
        <w:rPr>
          <w:sz w:val="24"/>
        </w:rPr>
        <w:t>such</w:t>
      </w:r>
      <w:r>
        <w:rPr>
          <w:spacing w:val="-1"/>
          <w:sz w:val="24"/>
        </w:rPr>
        <w:t xml:space="preserve"> </w:t>
      </w:r>
      <w:r>
        <w:rPr>
          <w:sz w:val="24"/>
        </w:rPr>
        <w:t>treatment.15.</w:t>
      </w:r>
      <w:r>
        <w:rPr>
          <w:spacing w:val="80"/>
          <w:sz w:val="24"/>
        </w:rPr>
        <w:t xml:space="preserve"> </w:t>
      </w:r>
      <w:r>
        <w:rPr>
          <w:sz w:val="24"/>
        </w:rPr>
        <w:t>It agrees to be subject to the Bankruptcy Subordination Agreement.</w:t>
      </w:r>
    </w:p>
    <w:p w14:paraId="031189F2" w14:textId="77777777" w:rsidR="00406550" w:rsidRDefault="001B59CE">
      <w:pPr>
        <w:pStyle w:val="ListParagraph"/>
        <w:numPr>
          <w:ilvl w:val="0"/>
          <w:numId w:val="7"/>
        </w:numPr>
        <w:tabs>
          <w:tab w:val="left" w:pos="688"/>
        </w:tabs>
        <w:spacing w:before="199"/>
        <w:ind w:firstLine="0"/>
        <w:jc w:val="both"/>
        <w:rPr>
          <w:sz w:val="24"/>
        </w:rPr>
      </w:pPr>
      <w:r>
        <w:rPr>
          <w:sz w:val="24"/>
        </w:rPr>
        <w:t>It agrees that, unles</w:t>
      </w:r>
      <w:r>
        <w:rPr>
          <w:sz w:val="24"/>
        </w:rPr>
        <w:t>s otherwise agreed upon with the Issuer, if for U.S. federal income tax purposes, and within the meaning of the Section 385 Regulations,</w:t>
      </w:r>
      <w:r>
        <w:rPr>
          <w:spacing w:val="40"/>
          <w:sz w:val="24"/>
        </w:rPr>
        <w:t xml:space="preserve"> </w:t>
      </w:r>
      <w:r>
        <w:rPr>
          <w:sz w:val="24"/>
        </w:rPr>
        <w:t>(a) the Issuer is treated as a "controlled partnership" with respect to an "expanded group" that includes such Purchase</w:t>
      </w:r>
      <w:r>
        <w:rPr>
          <w:sz w:val="24"/>
        </w:rPr>
        <w:t>r as a result of (i) the purchase of Subordinated Notes or Income Notes by such Purchaser, (ii) the purchase of Subordinated Notes or Income Notes by an affiliate of such Purchaser, or (iii) a Purchaser of Subordinated Notes or Income Notes becoming a memb</w:t>
      </w:r>
      <w:r>
        <w:rPr>
          <w:sz w:val="24"/>
        </w:rPr>
        <w:t>er of the expanded group that includes such Purchaser, (b) the Issuer issues or is deemed to issue new Secured Notes in a Refinancing, Re-Pricing or pursuant to the issuance of additional Notes, and such new Secured Notes are held by a member of the Purcha</w:t>
      </w:r>
      <w:r>
        <w:rPr>
          <w:sz w:val="24"/>
        </w:rPr>
        <w:t>ser's expanded group and are recharacterized in whole or part under those regulations as giving rise to the issuance of equity by the Purchaser or an affiliate thereof, and (c) the Issuer determines in its commercially reasonable judgment based upon writte</w:t>
      </w:r>
      <w:r>
        <w:rPr>
          <w:sz w:val="24"/>
        </w:rPr>
        <w:t>n advice of nationally recognized tax counsel (a summary of which shall be provided to the Purchasers of Subordinated Notes or Income Notes) that it or the Collateral Trustee is or would be liable to withhold taxes on payments or deemed payments on such eq</w:t>
      </w:r>
      <w:r>
        <w:rPr>
          <w:sz w:val="24"/>
        </w:rPr>
        <w:t>uity, then each member of the Purchaser 's expanded group that holds Notes shall promptly indemnify the Issuer and the Collateral Trustee upon request for such taxes, and any related interest, penalties, damages, costs and expenses.</w:t>
      </w:r>
    </w:p>
    <w:p w14:paraId="52E5A84F" w14:textId="77777777" w:rsidR="00406550" w:rsidRDefault="001B59CE">
      <w:pPr>
        <w:pStyle w:val="ListParagraph"/>
        <w:numPr>
          <w:ilvl w:val="0"/>
          <w:numId w:val="7"/>
        </w:numPr>
        <w:tabs>
          <w:tab w:val="left" w:pos="688"/>
        </w:tabs>
        <w:ind w:right="116" w:firstLine="0"/>
        <w:jc w:val="both"/>
        <w:rPr>
          <w:sz w:val="24"/>
        </w:rPr>
      </w:pPr>
      <w:r>
        <w:rPr>
          <w:sz w:val="24"/>
        </w:rPr>
        <w:t>It</w:t>
      </w:r>
      <w:r>
        <w:rPr>
          <w:spacing w:val="-2"/>
          <w:sz w:val="24"/>
        </w:rPr>
        <w:t xml:space="preserve"> </w:t>
      </w:r>
      <w:r>
        <w:rPr>
          <w:sz w:val="24"/>
        </w:rPr>
        <w:t>agrees</w:t>
      </w:r>
      <w:r>
        <w:rPr>
          <w:spacing w:val="-2"/>
          <w:sz w:val="24"/>
        </w:rPr>
        <w:t xml:space="preserve"> </w:t>
      </w:r>
      <w:r>
        <w:rPr>
          <w:sz w:val="24"/>
        </w:rPr>
        <w:t>(A)</w:t>
      </w:r>
      <w:r>
        <w:rPr>
          <w:spacing w:val="-2"/>
          <w:sz w:val="24"/>
        </w:rPr>
        <w:t xml:space="preserve"> </w:t>
      </w:r>
      <w:r>
        <w:rPr>
          <w:sz w:val="24"/>
        </w:rPr>
        <w:t>except</w:t>
      </w:r>
      <w:r>
        <w:rPr>
          <w:spacing w:val="-2"/>
          <w:sz w:val="24"/>
        </w:rPr>
        <w:t xml:space="preserve"> </w:t>
      </w:r>
      <w:r>
        <w:rPr>
          <w:sz w:val="24"/>
        </w:rPr>
        <w:t>as</w:t>
      </w:r>
      <w:r>
        <w:rPr>
          <w:spacing w:val="-2"/>
          <w:sz w:val="24"/>
        </w:rPr>
        <w:t xml:space="preserve"> </w:t>
      </w:r>
      <w:r>
        <w:rPr>
          <w:sz w:val="24"/>
        </w:rPr>
        <w:t>prohibited</w:t>
      </w:r>
      <w:r>
        <w:rPr>
          <w:spacing w:val="-2"/>
          <w:sz w:val="24"/>
        </w:rPr>
        <w:t xml:space="preserve"> </w:t>
      </w:r>
      <w:r>
        <w:rPr>
          <w:sz w:val="24"/>
        </w:rPr>
        <w:t>by</w:t>
      </w:r>
      <w:r>
        <w:rPr>
          <w:spacing w:val="-2"/>
          <w:sz w:val="24"/>
        </w:rPr>
        <w:t xml:space="preserve"> </w:t>
      </w:r>
      <w:r>
        <w:rPr>
          <w:sz w:val="24"/>
        </w:rPr>
        <w:t>applicable</w:t>
      </w:r>
      <w:r>
        <w:rPr>
          <w:spacing w:val="-2"/>
          <w:sz w:val="24"/>
        </w:rPr>
        <w:t xml:space="preserve"> </w:t>
      </w:r>
      <w:r>
        <w:rPr>
          <w:sz w:val="24"/>
        </w:rPr>
        <w:t>law,</w:t>
      </w:r>
      <w:r>
        <w:rPr>
          <w:spacing w:val="-2"/>
          <w:sz w:val="24"/>
        </w:rPr>
        <w:t xml:space="preserve"> </w:t>
      </w:r>
      <w:r>
        <w:rPr>
          <w:sz w:val="24"/>
        </w:rPr>
        <w:t>to</w:t>
      </w:r>
      <w:r>
        <w:rPr>
          <w:spacing w:val="-2"/>
          <w:sz w:val="24"/>
        </w:rPr>
        <w:t xml:space="preserve"> </w:t>
      </w:r>
      <w:r>
        <w:rPr>
          <w:sz w:val="24"/>
        </w:rPr>
        <w:t>obtain</w:t>
      </w:r>
      <w:r>
        <w:rPr>
          <w:spacing w:val="-2"/>
          <w:sz w:val="24"/>
        </w:rPr>
        <w:t xml:space="preserve"> </w:t>
      </w:r>
      <w:r>
        <w:rPr>
          <w:sz w:val="24"/>
        </w:rPr>
        <w:t>and</w:t>
      </w:r>
      <w:r>
        <w:rPr>
          <w:spacing w:val="-2"/>
          <w:sz w:val="24"/>
        </w:rPr>
        <w:t xml:space="preserve"> </w:t>
      </w:r>
      <w:r>
        <w:rPr>
          <w:sz w:val="24"/>
        </w:rPr>
        <w:t>provide</w:t>
      </w:r>
      <w:r>
        <w:rPr>
          <w:spacing w:val="-2"/>
          <w:sz w:val="24"/>
        </w:rPr>
        <w:t xml:space="preserve"> </w:t>
      </w:r>
      <w:r>
        <w:rPr>
          <w:sz w:val="24"/>
        </w:rPr>
        <w:t>the</w:t>
      </w:r>
      <w:r>
        <w:rPr>
          <w:spacing w:val="-2"/>
          <w:sz w:val="24"/>
        </w:rPr>
        <w:t xml:space="preserve"> </w:t>
      </w:r>
      <w:r>
        <w:rPr>
          <w:sz w:val="24"/>
        </w:rPr>
        <w:t>Income</w:t>
      </w:r>
      <w:r>
        <w:rPr>
          <w:spacing w:val="-2"/>
          <w:sz w:val="24"/>
        </w:rPr>
        <w:t xml:space="preserve"> </w:t>
      </w:r>
      <w:r>
        <w:rPr>
          <w:sz w:val="24"/>
        </w:rPr>
        <w:t>Note Issuer and the Income Note Paying Agent (including their agents and representatives) with information or documentation, and to update or correct such information or documentation, as ma</w:t>
      </w:r>
      <w:r>
        <w:rPr>
          <w:sz w:val="24"/>
        </w:rPr>
        <w:t>y be necessary or helpful (in the sole determination of the Income Note Issuer or the Income Note Paying Agent, or their agents or representatives, as applicable) to achieve FATCA Compliance</w:t>
      </w:r>
      <w:r>
        <w:rPr>
          <w:spacing w:val="6"/>
          <w:sz w:val="24"/>
        </w:rPr>
        <w:t xml:space="preserve"> </w:t>
      </w:r>
      <w:r>
        <w:rPr>
          <w:sz w:val="24"/>
        </w:rPr>
        <w:t>or</w:t>
      </w:r>
      <w:r>
        <w:rPr>
          <w:spacing w:val="8"/>
          <w:sz w:val="24"/>
        </w:rPr>
        <w:t xml:space="preserve"> </w:t>
      </w:r>
      <w:r>
        <w:rPr>
          <w:sz w:val="24"/>
        </w:rPr>
        <w:t>to</w:t>
      </w:r>
      <w:r>
        <w:rPr>
          <w:spacing w:val="8"/>
          <w:sz w:val="24"/>
        </w:rPr>
        <w:t xml:space="preserve"> </w:t>
      </w:r>
      <w:r>
        <w:rPr>
          <w:sz w:val="24"/>
        </w:rPr>
        <w:t>comply</w:t>
      </w:r>
      <w:r>
        <w:rPr>
          <w:spacing w:val="8"/>
          <w:sz w:val="24"/>
        </w:rPr>
        <w:t xml:space="preserve"> </w:t>
      </w:r>
      <w:r>
        <w:rPr>
          <w:sz w:val="24"/>
        </w:rPr>
        <w:t>with</w:t>
      </w:r>
      <w:r>
        <w:rPr>
          <w:spacing w:val="9"/>
          <w:sz w:val="24"/>
        </w:rPr>
        <w:t xml:space="preserve"> </w:t>
      </w:r>
      <w:r>
        <w:rPr>
          <w:sz w:val="24"/>
        </w:rPr>
        <w:t>the</w:t>
      </w:r>
      <w:r>
        <w:rPr>
          <w:spacing w:val="8"/>
          <w:sz w:val="24"/>
        </w:rPr>
        <w:t xml:space="preserve"> </w:t>
      </w:r>
      <w:r>
        <w:rPr>
          <w:sz w:val="24"/>
        </w:rPr>
        <w:t>Cayman</w:t>
      </w:r>
      <w:r>
        <w:rPr>
          <w:spacing w:val="9"/>
          <w:sz w:val="24"/>
        </w:rPr>
        <w:t xml:space="preserve"> </w:t>
      </w:r>
      <w:r>
        <w:rPr>
          <w:sz w:val="24"/>
        </w:rPr>
        <w:t>FATCA</w:t>
      </w:r>
      <w:r>
        <w:rPr>
          <w:spacing w:val="8"/>
          <w:sz w:val="24"/>
        </w:rPr>
        <w:t xml:space="preserve"> </w:t>
      </w:r>
      <w:r>
        <w:rPr>
          <w:sz w:val="24"/>
        </w:rPr>
        <w:t>Legislation</w:t>
      </w:r>
      <w:r>
        <w:rPr>
          <w:spacing w:val="9"/>
          <w:sz w:val="24"/>
        </w:rPr>
        <w:t xml:space="preserve"> </w:t>
      </w:r>
      <w:r>
        <w:rPr>
          <w:sz w:val="24"/>
        </w:rPr>
        <w:t>or</w:t>
      </w:r>
      <w:r>
        <w:rPr>
          <w:spacing w:val="8"/>
          <w:sz w:val="24"/>
        </w:rPr>
        <w:t xml:space="preserve"> </w:t>
      </w:r>
      <w:r>
        <w:rPr>
          <w:sz w:val="24"/>
        </w:rPr>
        <w:t>similar</w:t>
      </w:r>
      <w:r>
        <w:rPr>
          <w:spacing w:val="8"/>
          <w:sz w:val="24"/>
        </w:rPr>
        <w:t xml:space="preserve"> </w:t>
      </w:r>
      <w:r>
        <w:rPr>
          <w:sz w:val="24"/>
        </w:rPr>
        <w:t>require</w:t>
      </w:r>
      <w:r>
        <w:rPr>
          <w:sz w:val="24"/>
        </w:rPr>
        <w:t>ments</w:t>
      </w:r>
      <w:r>
        <w:rPr>
          <w:spacing w:val="8"/>
          <w:sz w:val="24"/>
        </w:rPr>
        <w:t xml:space="preserve"> </w:t>
      </w:r>
      <w:r>
        <w:rPr>
          <w:sz w:val="24"/>
        </w:rPr>
        <w:t>in</w:t>
      </w:r>
      <w:r>
        <w:rPr>
          <w:spacing w:val="9"/>
          <w:sz w:val="24"/>
        </w:rPr>
        <w:t xml:space="preserve"> </w:t>
      </w:r>
      <w:r>
        <w:rPr>
          <w:spacing w:val="-2"/>
          <w:sz w:val="24"/>
        </w:rPr>
        <w:t>other</w:t>
      </w:r>
    </w:p>
    <w:p w14:paraId="4F76BCA9" w14:textId="77777777" w:rsidR="00406550" w:rsidRDefault="00406550">
      <w:pPr>
        <w:jc w:val="both"/>
        <w:rPr>
          <w:sz w:val="24"/>
        </w:rPr>
        <w:sectPr w:rsidR="00406550">
          <w:pgSz w:w="12240" w:h="15840"/>
          <w:pgMar w:top="1360" w:right="1320" w:bottom="980" w:left="1320" w:header="0" w:footer="789" w:gutter="0"/>
          <w:cols w:space="720"/>
        </w:sectPr>
      </w:pPr>
    </w:p>
    <w:p w14:paraId="193087B3" w14:textId="77777777" w:rsidR="00406550" w:rsidRDefault="001B59CE">
      <w:pPr>
        <w:pStyle w:val="BodyText"/>
        <w:spacing w:before="76"/>
        <w:ind w:left="119" w:right="116"/>
      </w:pPr>
      <w:r>
        <w:lastRenderedPageBreak/>
        <w:t>jurisdictions (including the CRS) (the obligations undertaken pursuant to this clause (A), the “Holder Reporting Obligations”), (B) that the Income Note Issuer and/or the Income Note</w:t>
      </w:r>
      <w:r>
        <w:rPr>
          <w:spacing w:val="40"/>
        </w:rPr>
        <w:t xml:space="preserve"> </w:t>
      </w:r>
      <w:r>
        <w:t>Paying Agent or their agents or representati</w:t>
      </w:r>
      <w:r>
        <w:t>ves may (1) provide such information and documentation and any other information concerning its investment in such Income Notes to the Cayman Islands Tax Information Authority, the IRS and any other relevant tax authority and (2) take such other steps as t</w:t>
      </w:r>
      <w:r>
        <w:t>hey deem necessary or helpful to achieve FATCA Compliance and/or compliance with the Cayman FATCA Legislation and the CRS, including withholding on “passthru payments” (as defined in the Code), and (C) that if it fails for any reason to comply with its Hol</w:t>
      </w:r>
      <w:r>
        <w:t>der Reporting Obligations or otherwise is or becomes a Non-Permitted Tax Holder, the</w:t>
      </w:r>
      <w:r>
        <w:rPr>
          <w:spacing w:val="15"/>
        </w:rPr>
        <w:t xml:space="preserve"> </w:t>
      </w:r>
      <w:r>
        <w:t>Income</w:t>
      </w:r>
      <w:r>
        <w:rPr>
          <w:spacing w:val="17"/>
        </w:rPr>
        <w:t xml:space="preserve"> </w:t>
      </w:r>
      <w:r>
        <w:t>Note</w:t>
      </w:r>
      <w:r>
        <w:rPr>
          <w:spacing w:val="15"/>
        </w:rPr>
        <w:t xml:space="preserve"> </w:t>
      </w:r>
      <w:r>
        <w:t>Issuer</w:t>
      </w:r>
      <w:r>
        <w:rPr>
          <w:spacing w:val="15"/>
        </w:rPr>
        <w:t xml:space="preserve"> </w:t>
      </w:r>
      <w:r>
        <w:t>will</w:t>
      </w:r>
      <w:r>
        <w:rPr>
          <w:spacing w:val="16"/>
        </w:rPr>
        <w:t xml:space="preserve"> </w:t>
      </w:r>
      <w:r>
        <w:t>have</w:t>
      </w:r>
      <w:r>
        <w:rPr>
          <w:spacing w:val="15"/>
        </w:rPr>
        <w:t xml:space="preserve"> </w:t>
      </w:r>
      <w:r>
        <w:t>the</w:t>
      </w:r>
      <w:r>
        <w:rPr>
          <w:spacing w:val="16"/>
        </w:rPr>
        <w:t xml:space="preserve"> </w:t>
      </w:r>
      <w:r>
        <w:t>right,</w:t>
      </w:r>
      <w:r>
        <w:rPr>
          <w:spacing w:val="16"/>
        </w:rPr>
        <w:t xml:space="preserve"> </w:t>
      </w:r>
      <w:r>
        <w:t>in</w:t>
      </w:r>
      <w:r>
        <w:rPr>
          <w:spacing w:val="13"/>
        </w:rPr>
        <w:t xml:space="preserve"> </w:t>
      </w:r>
      <w:r>
        <w:t>addition</w:t>
      </w:r>
      <w:r>
        <w:rPr>
          <w:spacing w:val="14"/>
        </w:rPr>
        <w:t xml:space="preserve"> </w:t>
      </w:r>
      <w:r>
        <w:t>to</w:t>
      </w:r>
      <w:r>
        <w:rPr>
          <w:spacing w:val="16"/>
        </w:rPr>
        <w:t xml:space="preserve"> </w:t>
      </w:r>
      <w:r>
        <w:t>withholding</w:t>
      </w:r>
      <w:r>
        <w:rPr>
          <w:spacing w:val="14"/>
        </w:rPr>
        <w:t xml:space="preserve"> </w:t>
      </w:r>
      <w:r>
        <w:t>on</w:t>
      </w:r>
      <w:r>
        <w:rPr>
          <w:spacing w:val="15"/>
        </w:rPr>
        <w:t xml:space="preserve"> </w:t>
      </w:r>
      <w:r>
        <w:t>passthru</w:t>
      </w:r>
      <w:r>
        <w:rPr>
          <w:spacing w:val="15"/>
        </w:rPr>
        <w:t xml:space="preserve"> </w:t>
      </w:r>
      <w:r>
        <w:t>payments,</w:t>
      </w:r>
      <w:r>
        <w:rPr>
          <w:spacing w:val="15"/>
        </w:rPr>
        <w:t xml:space="preserve"> </w:t>
      </w:r>
      <w:r>
        <w:rPr>
          <w:spacing w:val="-5"/>
        </w:rPr>
        <w:t>to</w:t>
      </w:r>
    </w:p>
    <w:p w14:paraId="75D28B82" w14:textId="77777777" w:rsidR="00406550" w:rsidRDefault="001B59CE">
      <w:pPr>
        <w:pStyle w:val="BodyText"/>
        <w:spacing w:before="1"/>
        <w:ind w:left="119" w:right="115"/>
      </w:pPr>
      <w:r>
        <w:t xml:space="preserve">(1) compel it to sell its interest in such Income Notes, (2) sell such interest on its behalf in accordance with the procedures specified in Section 2.10 of the Income Note Paying Agency Agreement and/or (3) assign to such Income Notes a separate CUSIP or </w:t>
      </w:r>
      <w:r>
        <w:t>CUSIPs and, in the case of this subclause (3), to deposit payments on such Income Notes into a Tax Reserve Account, which amounts will be either (x) released to the Holder of such Notes at such time that the Income Note Issuer determines that the Holder of</w:t>
      </w:r>
      <w:r>
        <w:t xml:space="preserve"> such Income Notes complies with its Holder Reporting Obligations and is not otherwise a Non-Permitted Tax Holder or (y) released to pay costs related to such noncompliance (including Taxes imposed by FATCA); provided that any amounts remaining in a Tax Re</w:t>
      </w:r>
      <w:r>
        <w:t>serve Account will be released to</w:t>
      </w:r>
      <w:r>
        <w:rPr>
          <w:spacing w:val="-3"/>
        </w:rPr>
        <w:t xml:space="preserve"> </w:t>
      </w:r>
      <w:r>
        <w:t>the applicable Holder (a) on the date of final payment for such Income Notes (or as soon as reasonably practical thereafter) or (b) at the request of the applicable Holder on any Business Day after such Holder has certifie</w:t>
      </w:r>
      <w:r>
        <w:t>d to the Income Note Issuer and the Income Note Paying Agent that it no longer holds an interest in any Income Notes.</w:t>
      </w:r>
      <w:r>
        <w:rPr>
          <w:spacing w:val="40"/>
        </w:rPr>
        <w:t xml:space="preserve"> </w:t>
      </w:r>
      <w:r>
        <w:t>Any amounts deposited into a Tax Reserve Account in respect of Income Notes held by a Non-Permitted Tax Holder will be treated for all pur</w:t>
      </w:r>
      <w:r>
        <w:t>poses hereunder as if such</w:t>
      </w:r>
      <w:r>
        <w:rPr>
          <w:spacing w:val="40"/>
        </w:rPr>
        <w:t xml:space="preserve"> </w:t>
      </w:r>
      <w:r>
        <w:t>amounts had been paid directly to the Holder of such Income Notes.</w:t>
      </w:r>
      <w:r>
        <w:rPr>
          <w:spacing w:val="68"/>
        </w:rPr>
        <w:t xml:space="preserve"> </w:t>
      </w:r>
      <w:r>
        <w:t>Unless otherwise agreed in a subscription agreement with the Income Note Issuer, it agrees to indemnify the Issuer, the Income Note Issuer, the Collateral Manager</w:t>
      </w:r>
      <w:r>
        <w:t>, the Income Note Paying Agent and other beneficial owners</w:t>
      </w:r>
      <w:r>
        <w:rPr>
          <w:spacing w:val="-2"/>
        </w:rPr>
        <w:t xml:space="preserve"> </w:t>
      </w:r>
      <w:r>
        <w:t>of</w:t>
      </w:r>
      <w:r>
        <w:rPr>
          <w:spacing w:val="-2"/>
        </w:rPr>
        <w:t xml:space="preserve"> </w:t>
      </w:r>
      <w:r>
        <w:t>Notes</w:t>
      </w:r>
      <w:r>
        <w:rPr>
          <w:spacing w:val="-2"/>
        </w:rPr>
        <w:t xml:space="preserve"> </w:t>
      </w:r>
      <w:r>
        <w:t>for</w:t>
      </w:r>
      <w:r>
        <w:rPr>
          <w:spacing w:val="-2"/>
        </w:rPr>
        <w:t xml:space="preserve"> </w:t>
      </w:r>
      <w:r>
        <w:t>all</w:t>
      </w:r>
      <w:r>
        <w:rPr>
          <w:spacing w:val="-2"/>
        </w:rPr>
        <w:t xml:space="preserve"> </w:t>
      </w:r>
      <w:r>
        <w:t>damages,</w:t>
      </w:r>
      <w:r>
        <w:rPr>
          <w:spacing w:val="-2"/>
        </w:rPr>
        <w:t xml:space="preserve"> </w:t>
      </w:r>
      <w:r>
        <w:t>costs</w:t>
      </w:r>
      <w:r>
        <w:rPr>
          <w:spacing w:val="-2"/>
        </w:rPr>
        <w:t xml:space="preserve"> </w:t>
      </w:r>
      <w:r>
        <w:t>and</w:t>
      </w:r>
      <w:r>
        <w:rPr>
          <w:spacing w:val="-2"/>
        </w:rPr>
        <w:t xml:space="preserve"> </w:t>
      </w:r>
      <w:r>
        <w:t>expenses</w:t>
      </w:r>
      <w:r>
        <w:rPr>
          <w:spacing w:val="-2"/>
        </w:rPr>
        <w:t xml:space="preserve"> </w:t>
      </w:r>
      <w:r>
        <w:t>that</w:t>
      </w:r>
      <w:r>
        <w:rPr>
          <w:spacing w:val="-2"/>
        </w:rPr>
        <w:t xml:space="preserve"> </w:t>
      </w:r>
      <w:r>
        <w:t>result</w:t>
      </w:r>
      <w:r>
        <w:rPr>
          <w:spacing w:val="-5"/>
        </w:rPr>
        <w:t xml:space="preserve"> </w:t>
      </w:r>
      <w:r>
        <w:t>from</w:t>
      </w:r>
      <w:r>
        <w:rPr>
          <w:spacing w:val="-4"/>
        </w:rPr>
        <w:t xml:space="preserve"> </w:t>
      </w:r>
      <w:r>
        <w:t>its</w:t>
      </w:r>
      <w:r>
        <w:rPr>
          <w:spacing w:val="-2"/>
        </w:rPr>
        <w:t xml:space="preserve"> </w:t>
      </w:r>
      <w:r>
        <w:t>failure</w:t>
      </w:r>
      <w:r>
        <w:rPr>
          <w:spacing w:val="-2"/>
        </w:rPr>
        <w:t xml:space="preserve"> </w:t>
      </w:r>
      <w:r>
        <w:t>to</w:t>
      </w:r>
      <w:r>
        <w:rPr>
          <w:spacing w:val="-2"/>
        </w:rPr>
        <w:t xml:space="preserve"> </w:t>
      </w:r>
      <w:r>
        <w:t>comply</w:t>
      </w:r>
      <w:r>
        <w:rPr>
          <w:spacing w:val="-2"/>
        </w:rPr>
        <w:t xml:space="preserve"> </w:t>
      </w:r>
      <w:r>
        <w:t>with</w:t>
      </w:r>
      <w:r>
        <w:rPr>
          <w:spacing w:val="-2"/>
        </w:rPr>
        <w:t xml:space="preserve"> </w:t>
      </w:r>
      <w:r>
        <w:t>its Holder Reporting Obligations.</w:t>
      </w:r>
      <w:r>
        <w:rPr>
          <w:spacing w:val="40"/>
        </w:rPr>
        <w:t xml:space="preserve"> </w:t>
      </w:r>
      <w:r>
        <w:t>This indemnification will continue even after it ceases to have an ownersh</w:t>
      </w:r>
      <w:r>
        <w:t>ip interest in such Income Notes.</w:t>
      </w:r>
    </w:p>
    <w:p w14:paraId="293EDDE2" w14:textId="77777777" w:rsidR="00406550" w:rsidRDefault="001B59CE">
      <w:pPr>
        <w:pStyle w:val="ListParagraph"/>
        <w:numPr>
          <w:ilvl w:val="0"/>
          <w:numId w:val="7"/>
        </w:numPr>
        <w:tabs>
          <w:tab w:val="left" w:pos="689"/>
        </w:tabs>
        <w:spacing w:before="199"/>
        <w:ind w:left="119" w:right="117" w:firstLine="0"/>
        <w:jc w:val="both"/>
        <w:rPr>
          <w:sz w:val="24"/>
        </w:rPr>
      </w:pPr>
      <w:r>
        <w:rPr>
          <w:sz w:val="24"/>
        </w:rPr>
        <w:t>If it is not a "United States person"</w:t>
      </w:r>
      <w:r>
        <w:rPr>
          <w:spacing w:val="-2"/>
          <w:sz w:val="24"/>
        </w:rPr>
        <w:t xml:space="preserve"> </w:t>
      </w:r>
      <w:r>
        <w:rPr>
          <w:sz w:val="24"/>
        </w:rPr>
        <w:t>within the meaning of Section 7701(a)(30) of the Code, it either:</w:t>
      </w:r>
    </w:p>
    <w:p w14:paraId="6BD2F10E" w14:textId="77777777" w:rsidR="00406550" w:rsidRDefault="001B59CE">
      <w:pPr>
        <w:pStyle w:val="ListParagraph"/>
        <w:numPr>
          <w:ilvl w:val="1"/>
          <w:numId w:val="7"/>
        </w:numPr>
        <w:tabs>
          <w:tab w:val="left" w:pos="1253"/>
          <w:tab w:val="left" w:pos="1254"/>
        </w:tabs>
        <w:ind w:left="659" w:right="379" w:firstLine="0"/>
        <w:rPr>
          <w:sz w:val="24"/>
        </w:rPr>
      </w:pPr>
      <w:r>
        <w:rPr>
          <w:sz w:val="24"/>
        </w:rPr>
        <w:t>is</w:t>
      </w:r>
      <w:r>
        <w:rPr>
          <w:spacing w:val="-3"/>
          <w:sz w:val="24"/>
        </w:rPr>
        <w:t xml:space="preserve"> </w:t>
      </w:r>
      <w:r>
        <w:rPr>
          <w:sz w:val="24"/>
        </w:rPr>
        <w:t>not</w:t>
      </w:r>
      <w:r>
        <w:rPr>
          <w:spacing w:val="-3"/>
          <w:sz w:val="24"/>
        </w:rPr>
        <w:t xml:space="preserve"> </w:t>
      </w:r>
      <w:r>
        <w:rPr>
          <w:sz w:val="24"/>
        </w:rPr>
        <w:t>a</w:t>
      </w:r>
      <w:r>
        <w:rPr>
          <w:spacing w:val="-3"/>
          <w:sz w:val="24"/>
        </w:rPr>
        <w:t xml:space="preserve"> </w:t>
      </w:r>
      <w:r>
        <w:rPr>
          <w:sz w:val="24"/>
        </w:rPr>
        <w:t>bank</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meaning</w:t>
      </w:r>
      <w:r>
        <w:rPr>
          <w:spacing w:val="-3"/>
          <w:sz w:val="24"/>
        </w:rPr>
        <w:t xml:space="preserve"> </w:t>
      </w:r>
      <w:r>
        <w:rPr>
          <w:sz w:val="24"/>
        </w:rPr>
        <w:t>of</w:t>
      </w:r>
      <w:r>
        <w:rPr>
          <w:spacing w:val="-3"/>
          <w:sz w:val="24"/>
        </w:rPr>
        <w:t xml:space="preserve"> </w:t>
      </w:r>
      <w:r>
        <w:rPr>
          <w:sz w:val="24"/>
        </w:rPr>
        <w:t>Section</w:t>
      </w:r>
      <w:r>
        <w:rPr>
          <w:spacing w:val="-4"/>
          <w:sz w:val="24"/>
        </w:rPr>
        <w:t xml:space="preserve"> </w:t>
      </w:r>
      <w:r>
        <w:rPr>
          <w:sz w:val="24"/>
        </w:rPr>
        <w:t>881(c)(3)(A)</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Code)</w:t>
      </w:r>
      <w:r>
        <w:rPr>
          <w:spacing w:val="-4"/>
          <w:sz w:val="24"/>
        </w:rPr>
        <w:t xml:space="preserve"> </w:t>
      </w:r>
      <w:r>
        <w:rPr>
          <w:sz w:val="24"/>
        </w:rPr>
        <w:t>or</w:t>
      </w:r>
      <w:r>
        <w:rPr>
          <w:spacing w:val="-4"/>
          <w:sz w:val="24"/>
        </w:rPr>
        <w:t xml:space="preserve"> </w:t>
      </w:r>
      <w:r>
        <w:rPr>
          <w:sz w:val="24"/>
        </w:rPr>
        <w:t>an</w:t>
      </w:r>
      <w:r>
        <w:rPr>
          <w:spacing w:val="-3"/>
          <w:sz w:val="24"/>
        </w:rPr>
        <w:t xml:space="preserve"> </w:t>
      </w:r>
      <w:r>
        <w:rPr>
          <w:sz w:val="24"/>
        </w:rPr>
        <w:t>entity affiliated with such a bank;</w:t>
      </w:r>
    </w:p>
    <w:p w14:paraId="16768AA5" w14:textId="77777777" w:rsidR="00406550" w:rsidRDefault="001B59CE">
      <w:pPr>
        <w:pStyle w:val="ListParagraph"/>
        <w:numPr>
          <w:ilvl w:val="1"/>
          <w:numId w:val="7"/>
        </w:numPr>
        <w:tabs>
          <w:tab w:val="left" w:pos="1253"/>
          <w:tab w:val="left" w:pos="1254"/>
        </w:tabs>
        <w:spacing w:before="120"/>
        <w:ind w:left="659" w:right="285" w:firstLine="0"/>
        <w:rPr>
          <w:sz w:val="24"/>
        </w:rPr>
      </w:pPr>
      <w:r>
        <w:rPr>
          <w:sz w:val="24"/>
        </w:rPr>
        <w:t>(x)</w:t>
      </w:r>
      <w:r>
        <w:rPr>
          <w:spacing w:val="-3"/>
          <w:sz w:val="24"/>
        </w:rPr>
        <w:t xml:space="preserve"> </w:t>
      </w:r>
      <w:r>
        <w:rPr>
          <w:sz w:val="24"/>
        </w:rPr>
        <w:t>after</w:t>
      </w:r>
      <w:r>
        <w:rPr>
          <w:spacing w:val="-3"/>
          <w:sz w:val="24"/>
        </w:rPr>
        <w:t xml:space="preserve"> </w:t>
      </w:r>
      <w:r>
        <w:rPr>
          <w:sz w:val="24"/>
        </w:rPr>
        <w:t>giving</w:t>
      </w:r>
      <w:r>
        <w:rPr>
          <w:spacing w:val="-3"/>
          <w:sz w:val="24"/>
        </w:rPr>
        <w:t xml:space="preserve"> </w:t>
      </w:r>
      <w:r>
        <w:rPr>
          <w:sz w:val="24"/>
        </w:rPr>
        <w:t>effect</w:t>
      </w:r>
      <w:r>
        <w:rPr>
          <w:spacing w:val="-3"/>
          <w:sz w:val="24"/>
        </w:rPr>
        <w:t xml:space="preserve"> </w:t>
      </w:r>
      <w:r>
        <w:rPr>
          <w:sz w:val="24"/>
        </w:rPr>
        <w:t>to</w:t>
      </w:r>
      <w:r>
        <w:rPr>
          <w:spacing w:val="-3"/>
          <w:sz w:val="24"/>
        </w:rPr>
        <w:t xml:space="preserve"> </w:t>
      </w:r>
      <w:r>
        <w:rPr>
          <w:sz w:val="24"/>
        </w:rPr>
        <w:t>its</w:t>
      </w:r>
      <w:r>
        <w:rPr>
          <w:spacing w:val="-5"/>
          <w:sz w:val="24"/>
        </w:rPr>
        <w:t xml:space="preserve"> </w:t>
      </w:r>
      <w:r>
        <w:rPr>
          <w:sz w:val="24"/>
        </w:rPr>
        <w:t>purchase</w:t>
      </w:r>
      <w:r>
        <w:rPr>
          <w:spacing w:val="-3"/>
          <w:sz w:val="24"/>
        </w:rPr>
        <w:t xml:space="preserve"> </w:t>
      </w:r>
      <w:r>
        <w:rPr>
          <w:sz w:val="24"/>
        </w:rPr>
        <w:t>of</w:t>
      </w:r>
      <w:r>
        <w:rPr>
          <w:spacing w:val="-3"/>
          <w:sz w:val="24"/>
        </w:rPr>
        <w:t xml:space="preserve"> </w:t>
      </w:r>
      <w:r>
        <w:rPr>
          <w:sz w:val="24"/>
        </w:rPr>
        <w:t>Income</w:t>
      </w:r>
      <w:r>
        <w:rPr>
          <w:spacing w:val="-3"/>
          <w:sz w:val="24"/>
        </w:rPr>
        <w:t xml:space="preserve"> </w:t>
      </w:r>
      <w:r>
        <w:rPr>
          <w:sz w:val="24"/>
        </w:rPr>
        <w:t>Notes,</w:t>
      </w:r>
      <w:r>
        <w:rPr>
          <w:spacing w:val="-3"/>
          <w:sz w:val="24"/>
        </w:rPr>
        <w:t xml:space="preserve"> </w:t>
      </w:r>
      <w:r>
        <w:rPr>
          <w:sz w:val="24"/>
        </w:rPr>
        <w:t>will</w:t>
      </w:r>
      <w:r>
        <w:rPr>
          <w:spacing w:val="-3"/>
          <w:sz w:val="24"/>
        </w:rPr>
        <w:t xml:space="preserve"> </w:t>
      </w:r>
      <w:r>
        <w:rPr>
          <w:sz w:val="24"/>
        </w:rPr>
        <w:t>not</w:t>
      </w:r>
      <w:r>
        <w:rPr>
          <w:spacing w:val="-4"/>
          <w:sz w:val="24"/>
        </w:rPr>
        <w:t xml:space="preserve"> </w:t>
      </w:r>
      <w:r>
        <w:rPr>
          <w:sz w:val="24"/>
        </w:rPr>
        <w:t>directly</w:t>
      </w:r>
      <w:r>
        <w:rPr>
          <w:spacing w:val="-4"/>
          <w:sz w:val="24"/>
        </w:rPr>
        <w:t xml:space="preserve"> </w:t>
      </w:r>
      <w:r>
        <w:rPr>
          <w:sz w:val="24"/>
        </w:rPr>
        <w:t>or</w:t>
      </w:r>
      <w:r>
        <w:rPr>
          <w:spacing w:val="-4"/>
          <w:sz w:val="24"/>
        </w:rPr>
        <w:t xml:space="preserve"> </w:t>
      </w:r>
      <w:r>
        <w:rPr>
          <w:sz w:val="24"/>
        </w:rPr>
        <w:t>indirectly own more than 33-1/3%, by value, of the Income Notes, and (y) will not otherwise be related to the Income Note Issuer (within the m</w:t>
      </w:r>
      <w:r>
        <w:rPr>
          <w:sz w:val="24"/>
        </w:rPr>
        <w:t xml:space="preserve">eaning of Treasury regulations section </w:t>
      </w:r>
      <w:r>
        <w:rPr>
          <w:spacing w:val="-2"/>
          <w:sz w:val="24"/>
        </w:rPr>
        <w:t>1.881-3);</w:t>
      </w:r>
    </w:p>
    <w:p w14:paraId="5CB1866D" w14:textId="77777777" w:rsidR="00406550" w:rsidRDefault="001B59CE">
      <w:pPr>
        <w:pStyle w:val="ListParagraph"/>
        <w:numPr>
          <w:ilvl w:val="1"/>
          <w:numId w:val="7"/>
        </w:numPr>
        <w:tabs>
          <w:tab w:val="left" w:pos="1253"/>
          <w:tab w:val="left" w:pos="1254"/>
        </w:tabs>
        <w:spacing w:before="120"/>
        <w:ind w:right="145" w:firstLine="0"/>
        <w:rPr>
          <w:sz w:val="24"/>
        </w:rPr>
      </w:pPr>
      <w:r>
        <w:rPr>
          <w:sz w:val="24"/>
        </w:rPr>
        <w:t>has provided an IRS Form W-8BEN or W-8BEN-E representing that it is a person that</w:t>
      </w:r>
      <w:r>
        <w:rPr>
          <w:spacing w:val="-3"/>
          <w:sz w:val="24"/>
        </w:rPr>
        <w:t xml:space="preserve"> </w:t>
      </w:r>
      <w:r>
        <w:rPr>
          <w:sz w:val="24"/>
        </w:rPr>
        <w:t>is</w:t>
      </w:r>
      <w:r>
        <w:rPr>
          <w:spacing w:val="-3"/>
          <w:sz w:val="24"/>
        </w:rPr>
        <w:t xml:space="preserve"> </w:t>
      </w:r>
      <w:r>
        <w:rPr>
          <w:sz w:val="24"/>
        </w:rPr>
        <w:t>eligible</w:t>
      </w:r>
      <w:r>
        <w:rPr>
          <w:spacing w:val="-3"/>
          <w:sz w:val="24"/>
        </w:rPr>
        <w:t xml:space="preserve"> </w:t>
      </w:r>
      <w:r>
        <w:rPr>
          <w:sz w:val="24"/>
        </w:rPr>
        <w:t>for</w:t>
      </w:r>
      <w:r>
        <w:rPr>
          <w:spacing w:val="-3"/>
          <w:sz w:val="24"/>
        </w:rPr>
        <w:t xml:space="preserve"> </w:t>
      </w:r>
      <w:r>
        <w:rPr>
          <w:sz w:val="24"/>
        </w:rPr>
        <w:t>benefits</w:t>
      </w:r>
      <w:r>
        <w:rPr>
          <w:spacing w:val="-3"/>
          <w:sz w:val="24"/>
        </w:rPr>
        <w:t xml:space="preserve"> </w:t>
      </w:r>
      <w:r>
        <w:rPr>
          <w:sz w:val="24"/>
        </w:rPr>
        <w:t>under</w:t>
      </w:r>
      <w:r>
        <w:rPr>
          <w:spacing w:val="-3"/>
          <w:sz w:val="24"/>
        </w:rPr>
        <w:t xml:space="preserve"> </w:t>
      </w:r>
      <w:r>
        <w:rPr>
          <w:sz w:val="24"/>
        </w:rPr>
        <w:t>an</w:t>
      </w:r>
      <w:r>
        <w:rPr>
          <w:spacing w:val="-3"/>
          <w:sz w:val="24"/>
        </w:rPr>
        <w:t xml:space="preserve"> </w:t>
      </w:r>
      <w:r>
        <w:rPr>
          <w:sz w:val="24"/>
        </w:rPr>
        <w:t>income</w:t>
      </w:r>
      <w:r>
        <w:rPr>
          <w:spacing w:val="-3"/>
          <w:sz w:val="24"/>
        </w:rPr>
        <w:t xml:space="preserve"> </w:t>
      </w:r>
      <w:r>
        <w:rPr>
          <w:sz w:val="24"/>
        </w:rPr>
        <w:t>tax</w:t>
      </w:r>
      <w:r>
        <w:rPr>
          <w:spacing w:val="-3"/>
          <w:sz w:val="24"/>
        </w:rPr>
        <w:t xml:space="preserve"> </w:t>
      </w:r>
      <w:r>
        <w:rPr>
          <w:sz w:val="24"/>
        </w:rPr>
        <w:t>treaty</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r>
        <w:rPr>
          <w:spacing w:val="-3"/>
          <w:sz w:val="24"/>
        </w:rPr>
        <w:t xml:space="preserve"> </w:t>
      </w:r>
      <w:r>
        <w:rPr>
          <w:sz w:val="24"/>
        </w:rPr>
        <w:t>that</w:t>
      </w:r>
      <w:r>
        <w:rPr>
          <w:spacing w:val="-3"/>
          <w:sz w:val="24"/>
        </w:rPr>
        <w:t xml:space="preserve"> </w:t>
      </w:r>
      <w:r>
        <w:rPr>
          <w:sz w:val="24"/>
        </w:rPr>
        <w:t>eliminates</w:t>
      </w:r>
    </w:p>
    <w:p w14:paraId="217EDD10" w14:textId="77777777" w:rsidR="00406550" w:rsidRDefault="001B59CE">
      <w:pPr>
        <w:pStyle w:val="BodyText"/>
        <w:ind w:left="660" w:right="115"/>
        <w:jc w:val="left"/>
      </w:pPr>
      <w:r>
        <w:t>U.S.</w:t>
      </w:r>
      <w:r>
        <w:rPr>
          <w:spacing w:val="-3"/>
        </w:rPr>
        <w:t xml:space="preserve"> </w:t>
      </w:r>
      <w:r>
        <w:t>federal</w:t>
      </w:r>
      <w:r>
        <w:rPr>
          <w:spacing w:val="-3"/>
        </w:rPr>
        <w:t xml:space="preserve"> </w:t>
      </w:r>
      <w:r>
        <w:t>income</w:t>
      </w:r>
      <w:r>
        <w:rPr>
          <w:spacing w:val="-3"/>
        </w:rPr>
        <w:t xml:space="preserve"> </w:t>
      </w:r>
      <w:r>
        <w:t>taxation</w:t>
      </w:r>
      <w:r>
        <w:rPr>
          <w:spacing w:val="-3"/>
        </w:rPr>
        <w:t xml:space="preserve"> </w:t>
      </w:r>
      <w:r>
        <w:t>of</w:t>
      </w:r>
      <w:r>
        <w:rPr>
          <w:spacing w:val="-5"/>
        </w:rPr>
        <w:t xml:space="preserve"> </w:t>
      </w:r>
      <w:r>
        <w:t>U.</w:t>
      </w:r>
      <w:r>
        <w:t>S.</w:t>
      </w:r>
      <w:r>
        <w:rPr>
          <w:spacing w:val="-4"/>
        </w:rPr>
        <w:t xml:space="preserve"> </w:t>
      </w:r>
      <w:r>
        <w:t>source</w:t>
      </w:r>
      <w:r>
        <w:rPr>
          <w:spacing w:val="-4"/>
        </w:rPr>
        <w:t xml:space="preserve"> </w:t>
      </w:r>
      <w:r>
        <w:t>interest</w:t>
      </w:r>
      <w:r>
        <w:rPr>
          <w:spacing w:val="-3"/>
        </w:rPr>
        <w:t xml:space="preserve"> </w:t>
      </w:r>
      <w:r>
        <w:t>not</w:t>
      </w:r>
      <w:r>
        <w:rPr>
          <w:spacing w:val="-3"/>
        </w:rPr>
        <w:t xml:space="preserve"> </w:t>
      </w:r>
      <w:r>
        <w:t>attributable</w:t>
      </w:r>
      <w:r>
        <w:rPr>
          <w:spacing w:val="-3"/>
        </w:rPr>
        <w:t xml:space="preserve"> </w:t>
      </w:r>
      <w:r>
        <w:t>to</w:t>
      </w:r>
      <w:r>
        <w:rPr>
          <w:spacing w:val="-3"/>
        </w:rPr>
        <w:t xml:space="preserve"> </w:t>
      </w:r>
      <w:r>
        <w:t>a</w:t>
      </w:r>
      <w:r>
        <w:rPr>
          <w:spacing w:val="-3"/>
        </w:rPr>
        <w:t xml:space="preserve"> </w:t>
      </w:r>
      <w:r>
        <w:t>permanent establishment in the United States; or</w:t>
      </w:r>
    </w:p>
    <w:p w14:paraId="1AF38402" w14:textId="77777777" w:rsidR="00406550" w:rsidRDefault="00406550">
      <w:pPr>
        <w:sectPr w:rsidR="00406550">
          <w:pgSz w:w="12240" w:h="15840"/>
          <w:pgMar w:top="1360" w:right="1320" w:bottom="980" w:left="1320" w:header="0" w:footer="789" w:gutter="0"/>
          <w:cols w:space="720"/>
        </w:sectPr>
      </w:pPr>
    </w:p>
    <w:p w14:paraId="0B1C085D" w14:textId="77777777" w:rsidR="00406550" w:rsidRDefault="001B59CE">
      <w:pPr>
        <w:pStyle w:val="ListParagraph"/>
        <w:numPr>
          <w:ilvl w:val="1"/>
          <w:numId w:val="7"/>
        </w:numPr>
        <w:tabs>
          <w:tab w:val="left" w:pos="1253"/>
          <w:tab w:val="left" w:pos="1254"/>
        </w:tabs>
        <w:spacing w:before="76"/>
        <w:ind w:right="254" w:firstLine="0"/>
        <w:rPr>
          <w:sz w:val="24"/>
        </w:rPr>
      </w:pPr>
      <w:r>
        <w:rPr>
          <w:sz w:val="24"/>
        </w:rPr>
        <w:lastRenderedPageBreak/>
        <w:t>has provided an IRS Form W-8ECI representing that all payments received or to be received</w:t>
      </w:r>
      <w:r>
        <w:rPr>
          <w:spacing w:val="-3"/>
          <w:sz w:val="24"/>
        </w:rPr>
        <w:t xml:space="preserve"> </w:t>
      </w:r>
      <w:r>
        <w:rPr>
          <w:sz w:val="24"/>
        </w:rPr>
        <w:t>by</w:t>
      </w:r>
      <w:r>
        <w:rPr>
          <w:spacing w:val="-3"/>
          <w:sz w:val="24"/>
        </w:rPr>
        <w:t xml:space="preserve"> </w:t>
      </w:r>
      <w:r>
        <w:rPr>
          <w:sz w:val="24"/>
        </w:rPr>
        <w:t>it</w:t>
      </w:r>
      <w:r>
        <w:rPr>
          <w:spacing w:val="-3"/>
          <w:sz w:val="24"/>
        </w:rPr>
        <w:t xml:space="preserve"> </w:t>
      </w:r>
      <w:r>
        <w:rPr>
          <w:sz w:val="24"/>
        </w:rPr>
        <w:t>from</w:t>
      </w:r>
      <w:r>
        <w:rPr>
          <w:spacing w:val="-5"/>
          <w:sz w:val="24"/>
        </w:rPr>
        <w:t xml:space="preserve"> </w:t>
      </w:r>
      <w:r>
        <w:rPr>
          <w:sz w:val="24"/>
        </w:rPr>
        <w:t>the</w:t>
      </w:r>
      <w:r>
        <w:rPr>
          <w:spacing w:val="-3"/>
          <w:sz w:val="24"/>
        </w:rPr>
        <w:t xml:space="preserve"> </w:t>
      </w:r>
      <w:r>
        <w:rPr>
          <w:sz w:val="24"/>
        </w:rPr>
        <w:t>Income</w:t>
      </w:r>
      <w:r>
        <w:rPr>
          <w:spacing w:val="-3"/>
          <w:sz w:val="24"/>
        </w:rPr>
        <w:t xml:space="preserve"> </w:t>
      </w:r>
      <w:r>
        <w:rPr>
          <w:sz w:val="24"/>
        </w:rPr>
        <w:t>Note</w:t>
      </w:r>
      <w:r>
        <w:rPr>
          <w:spacing w:val="-3"/>
          <w:sz w:val="24"/>
        </w:rPr>
        <w:t xml:space="preserve"> </w:t>
      </w:r>
      <w:r>
        <w:rPr>
          <w:sz w:val="24"/>
        </w:rPr>
        <w:t>Issuer</w:t>
      </w:r>
      <w:r>
        <w:rPr>
          <w:spacing w:val="-3"/>
          <w:sz w:val="24"/>
        </w:rPr>
        <w:t xml:space="preserve"> </w:t>
      </w:r>
      <w:r>
        <w:rPr>
          <w:sz w:val="24"/>
        </w:rPr>
        <w:t>are</w:t>
      </w:r>
      <w:r>
        <w:rPr>
          <w:spacing w:val="-3"/>
          <w:sz w:val="24"/>
        </w:rPr>
        <w:t xml:space="preserve"> </w:t>
      </w:r>
      <w:r>
        <w:rPr>
          <w:sz w:val="24"/>
        </w:rPr>
        <w:t>effectively</w:t>
      </w:r>
      <w:r>
        <w:rPr>
          <w:spacing w:val="-3"/>
          <w:sz w:val="24"/>
        </w:rPr>
        <w:t xml:space="preserve"> </w:t>
      </w:r>
      <w:r>
        <w:rPr>
          <w:sz w:val="24"/>
        </w:rPr>
        <w:t>connected</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z w:val="24"/>
        </w:rPr>
        <w:t>conduct</w:t>
      </w:r>
      <w:r>
        <w:rPr>
          <w:spacing w:val="-3"/>
          <w:sz w:val="24"/>
        </w:rPr>
        <w:t xml:space="preserve"> </w:t>
      </w:r>
      <w:r>
        <w:rPr>
          <w:sz w:val="24"/>
        </w:rPr>
        <w:t>of</w:t>
      </w:r>
      <w:r>
        <w:rPr>
          <w:spacing w:val="-3"/>
          <w:sz w:val="24"/>
        </w:rPr>
        <w:t xml:space="preserve"> </w:t>
      </w:r>
      <w:r>
        <w:rPr>
          <w:sz w:val="24"/>
        </w:rPr>
        <w:t>a trade or business in the United States.</w:t>
      </w:r>
    </w:p>
    <w:p w14:paraId="4D797DC6" w14:textId="77777777" w:rsidR="00406550" w:rsidRDefault="001B59CE">
      <w:pPr>
        <w:pStyle w:val="ListParagraph"/>
        <w:numPr>
          <w:ilvl w:val="0"/>
          <w:numId w:val="7"/>
        </w:numPr>
        <w:tabs>
          <w:tab w:val="left" w:pos="688"/>
        </w:tabs>
        <w:spacing w:before="121"/>
        <w:ind w:left="119" w:firstLine="0"/>
        <w:jc w:val="both"/>
        <w:rPr>
          <w:sz w:val="24"/>
        </w:rPr>
      </w:pPr>
      <w:r>
        <w:rPr>
          <w:sz w:val="24"/>
        </w:rPr>
        <w:t>If it owns more than 50% of the Subordinated</w:t>
      </w:r>
      <w:r>
        <w:rPr>
          <w:sz w:val="24"/>
        </w:rPr>
        <w:t xml:space="preserve"> Notes or Income Notes by value or is otherwise treated as a member of the "expanded affiliated group" of the Issuer or the Income Note Issuer, as applicable (as defined in Treasury regulations section 1.1471-5(i) (or any successor provision)), it represen</w:t>
      </w:r>
      <w:r>
        <w:rPr>
          <w:sz w:val="24"/>
        </w:rPr>
        <w:t>ts that it will (A) confirm that any member of such expanded affiliated group (assuming that each of the Issuer, any Tax Subsidiary, and the Income Note Issuer is an "FFI" within the meaning of Treasury regulations section 1.1471-5(d) (or any successor pro</w:t>
      </w:r>
      <w:r>
        <w:rPr>
          <w:sz w:val="24"/>
        </w:rPr>
        <w:t>vision)) that is treated as a "foreign financial institution" within the meaning of Section 1471(d)(4) of the Code and any Treasury regulations promulgated thereunder is either a "participating</w:t>
      </w:r>
      <w:r>
        <w:rPr>
          <w:spacing w:val="-2"/>
          <w:sz w:val="24"/>
        </w:rPr>
        <w:t xml:space="preserve"> </w:t>
      </w:r>
      <w:r>
        <w:rPr>
          <w:sz w:val="24"/>
        </w:rPr>
        <w:t>FFI",</w:t>
      </w:r>
      <w:r>
        <w:rPr>
          <w:spacing w:val="-2"/>
          <w:sz w:val="24"/>
        </w:rPr>
        <w:t xml:space="preserve"> </w:t>
      </w:r>
      <w:r>
        <w:rPr>
          <w:sz w:val="24"/>
        </w:rPr>
        <w:t>a</w:t>
      </w:r>
      <w:r>
        <w:rPr>
          <w:spacing w:val="-2"/>
          <w:sz w:val="24"/>
        </w:rPr>
        <w:t xml:space="preserve"> </w:t>
      </w:r>
      <w:r>
        <w:rPr>
          <w:sz w:val="24"/>
        </w:rPr>
        <w:t>"registered</w:t>
      </w:r>
      <w:r>
        <w:rPr>
          <w:spacing w:val="-2"/>
          <w:sz w:val="24"/>
        </w:rPr>
        <w:t xml:space="preserve"> </w:t>
      </w:r>
      <w:r>
        <w:rPr>
          <w:sz w:val="24"/>
        </w:rPr>
        <w:t>deemed-compliant</w:t>
      </w:r>
      <w:r>
        <w:rPr>
          <w:spacing w:val="-2"/>
          <w:sz w:val="24"/>
        </w:rPr>
        <w:t xml:space="preserve"> </w:t>
      </w:r>
      <w:r>
        <w:rPr>
          <w:sz w:val="24"/>
        </w:rPr>
        <w:t>FFI"</w:t>
      </w:r>
      <w:r>
        <w:rPr>
          <w:spacing w:val="-2"/>
          <w:sz w:val="24"/>
        </w:rPr>
        <w:t xml:space="preserve"> </w:t>
      </w:r>
      <w:r>
        <w:rPr>
          <w:sz w:val="24"/>
        </w:rPr>
        <w:t>or</w:t>
      </w:r>
      <w:r>
        <w:rPr>
          <w:spacing w:val="-2"/>
          <w:sz w:val="24"/>
        </w:rPr>
        <w:t xml:space="preserve"> </w:t>
      </w:r>
      <w:r>
        <w:rPr>
          <w:sz w:val="24"/>
        </w:rPr>
        <w:t>an</w:t>
      </w:r>
      <w:r>
        <w:rPr>
          <w:spacing w:val="-1"/>
          <w:sz w:val="24"/>
        </w:rPr>
        <w:t xml:space="preserve"> </w:t>
      </w:r>
      <w:r>
        <w:rPr>
          <w:sz w:val="24"/>
        </w:rPr>
        <w:t>"exempt</w:t>
      </w:r>
      <w:r>
        <w:rPr>
          <w:spacing w:val="-2"/>
          <w:sz w:val="24"/>
        </w:rPr>
        <w:t xml:space="preserve"> </w:t>
      </w:r>
      <w:r>
        <w:rPr>
          <w:sz w:val="24"/>
        </w:rPr>
        <w:t>benefi</w:t>
      </w:r>
      <w:r>
        <w:rPr>
          <w:sz w:val="24"/>
        </w:rPr>
        <w:t>cial</w:t>
      </w:r>
      <w:r>
        <w:rPr>
          <w:spacing w:val="-2"/>
          <w:sz w:val="24"/>
        </w:rPr>
        <w:t xml:space="preserve"> </w:t>
      </w:r>
      <w:r>
        <w:rPr>
          <w:sz w:val="24"/>
        </w:rPr>
        <w:t>owner"</w:t>
      </w:r>
      <w:r>
        <w:rPr>
          <w:spacing w:val="-2"/>
          <w:sz w:val="24"/>
        </w:rPr>
        <w:t xml:space="preserve"> </w:t>
      </w:r>
      <w:r>
        <w:rPr>
          <w:sz w:val="24"/>
        </w:rPr>
        <w:t>within the meaning of Treasury regulations section 1.1471-4(e) (or any successor provision), and (B) promptly notify the Issuer or the Income Note Issuer in the event that any member of such expanded affiliated group that is treated as a "forei</w:t>
      </w:r>
      <w:r>
        <w:rPr>
          <w:sz w:val="24"/>
        </w:rPr>
        <w:t>gn financial institution" within the meaning of Section 1471(d)(4) of the Code and any Treasury regulations promulgated thereunder is not</w:t>
      </w:r>
      <w:r>
        <w:rPr>
          <w:spacing w:val="40"/>
          <w:sz w:val="24"/>
        </w:rPr>
        <w:t xml:space="preserve"> </w:t>
      </w:r>
      <w:r>
        <w:rPr>
          <w:sz w:val="24"/>
        </w:rPr>
        <w:t xml:space="preserve">either a "participating FFI", a "deemed-compliant FFI" or an "exempt beneficial owner" within the meaning of Treasury </w:t>
      </w:r>
      <w:r>
        <w:rPr>
          <w:sz w:val="24"/>
        </w:rPr>
        <w:t>regulations section 1.1471-4(e) (or any successor provision), in each case except to the extent that the Issuer, the Income Note Issuer, or their agents have provided</w:t>
      </w:r>
      <w:r>
        <w:rPr>
          <w:spacing w:val="40"/>
          <w:sz w:val="24"/>
        </w:rPr>
        <w:t xml:space="preserve"> </w:t>
      </w:r>
      <w:r>
        <w:rPr>
          <w:sz w:val="24"/>
        </w:rPr>
        <w:t>the investor with an express waiver of this requirement.</w:t>
      </w:r>
    </w:p>
    <w:p w14:paraId="48DAF24A" w14:textId="77777777" w:rsidR="00406550" w:rsidRDefault="001B59CE">
      <w:pPr>
        <w:pStyle w:val="ListParagraph"/>
        <w:numPr>
          <w:ilvl w:val="0"/>
          <w:numId w:val="7"/>
        </w:numPr>
        <w:tabs>
          <w:tab w:val="left" w:pos="689"/>
        </w:tabs>
        <w:spacing w:before="199"/>
        <w:ind w:left="119" w:right="116" w:firstLine="0"/>
        <w:jc w:val="both"/>
        <w:rPr>
          <w:sz w:val="24"/>
        </w:rPr>
      </w:pPr>
      <w:r>
        <w:rPr>
          <w:sz w:val="24"/>
        </w:rPr>
        <w:t>It will not treat any income with respect to its Income Notes as derived in connection with the Income Note Issuer's active conduct of a banking, financing, insurance, or other similar business for purposes of Section 954(h)(2) of the Code.</w:t>
      </w:r>
    </w:p>
    <w:p w14:paraId="128DE72A" w14:textId="77777777" w:rsidR="00406550" w:rsidRDefault="001B59CE">
      <w:pPr>
        <w:pStyle w:val="ListParagraph"/>
        <w:numPr>
          <w:ilvl w:val="0"/>
          <w:numId w:val="7"/>
        </w:numPr>
        <w:tabs>
          <w:tab w:val="left" w:pos="688"/>
        </w:tabs>
        <w:ind w:left="119" w:right="116" w:firstLine="0"/>
        <w:jc w:val="both"/>
        <w:rPr>
          <w:sz w:val="24"/>
        </w:rPr>
      </w:pPr>
      <w:r>
        <w:rPr>
          <w:sz w:val="24"/>
        </w:rPr>
        <w:t>(A) It has such</w:t>
      </w:r>
      <w:r>
        <w:rPr>
          <w:sz w:val="24"/>
        </w:rPr>
        <w:t xml:space="preserve"> knowledge and experience in financial and business matters to be capable</w:t>
      </w:r>
      <w:r>
        <w:rPr>
          <w:spacing w:val="40"/>
          <w:sz w:val="24"/>
        </w:rPr>
        <w:t xml:space="preserve"> </w:t>
      </w:r>
      <w:r>
        <w:rPr>
          <w:sz w:val="24"/>
        </w:rPr>
        <w:t>of making its own independent evaluation of the reasonableness and accuracy of the information contained</w:t>
      </w:r>
      <w:r>
        <w:rPr>
          <w:spacing w:val="4"/>
          <w:sz w:val="24"/>
        </w:rPr>
        <w:t xml:space="preserve"> </w:t>
      </w:r>
      <w:r>
        <w:rPr>
          <w:sz w:val="24"/>
        </w:rPr>
        <w:t>under</w:t>
      </w:r>
      <w:r>
        <w:rPr>
          <w:spacing w:val="7"/>
          <w:sz w:val="24"/>
        </w:rPr>
        <w:t xml:space="preserve"> </w:t>
      </w:r>
      <w:r>
        <w:rPr>
          <w:sz w:val="24"/>
        </w:rPr>
        <w:t>the</w:t>
      </w:r>
      <w:r>
        <w:rPr>
          <w:spacing w:val="7"/>
          <w:sz w:val="24"/>
        </w:rPr>
        <w:t xml:space="preserve"> </w:t>
      </w:r>
      <w:r>
        <w:rPr>
          <w:sz w:val="24"/>
        </w:rPr>
        <w:t>"U.S.</w:t>
      </w:r>
      <w:r>
        <w:rPr>
          <w:spacing w:val="7"/>
          <w:sz w:val="24"/>
        </w:rPr>
        <w:t xml:space="preserve"> </w:t>
      </w:r>
      <w:r>
        <w:rPr>
          <w:sz w:val="24"/>
        </w:rPr>
        <w:t>Credit</w:t>
      </w:r>
      <w:r>
        <w:rPr>
          <w:spacing w:val="7"/>
          <w:sz w:val="24"/>
        </w:rPr>
        <w:t xml:space="preserve"> </w:t>
      </w:r>
      <w:r>
        <w:rPr>
          <w:sz w:val="24"/>
        </w:rPr>
        <w:t>Risk</w:t>
      </w:r>
      <w:r>
        <w:rPr>
          <w:spacing w:val="6"/>
          <w:sz w:val="24"/>
        </w:rPr>
        <w:t xml:space="preserve"> </w:t>
      </w:r>
      <w:r>
        <w:rPr>
          <w:sz w:val="24"/>
        </w:rPr>
        <w:t>Retention"</w:t>
      </w:r>
      <w:r>
        <w:rPr>
          <w:spacing w:val="7"/>
          <w:sz w:val="24"/>
        </w:rPr>
        <w:t xml:space="preserve"> </w:t>
      </w:r>
      <w:r>
        <w:rPr>
          <w:sz w:val="24"/>
        </w:rPr>
        <w:t>section</w:t>
      </w:r>
      <w:r>
        <w:rPr>
          <w:spacing w:val="7"/>
          <w:sz w:val="24"/>
        </w:rPr>
        <w:t xml:space="preserve"> </w:t>
      </w:r>
      <w:r>
        <w:rPr>
          <w:sz w:val="24"/>
        </w:rPr>
        <w:t>heading</w:t>
      </w:r>
      <w:r>
        <w:rPr>
          <w:spacing w:val="7"/>
          <w:sz w:val="24"/>
        </w:rPr>
        <w:t xml:space="preserve"> </w:t>
      </w:r>
      <w:r>
        <w:rPr>
          <w:sz w:val="24"/>
        </w:rPr>
        <w:t>in</w:t>
      </w:r>
      <w:r>
        <w:rPr>
          <w:spacing w:val="6"/>
          <w:sz w:val="24"/>
        </w:rPr>
        <w:t xml:space="preserve"> </w:t>
      </w:r>
      <w:r>
        <w:rPr>
          <w:sz w:val="24"/>
        </w:rPr>
        <w:t>the</w:t>
      </w:r>
      <w:r>
        <w:rPr>
          <w:spacing w:val="6"/>
          <w:sz w:val="24"/>
        </w:rPr>
        <w:t xml:space="preserve"> </w:t>
      </w:r>
      <w:r>
        <w:rPr>
          <w:sz w:val="24"/>
        </w:rPr>
        <w:t>Offering</w:t>
      </w:r>
      <w:r>
        <w:rPr>
          <w:spacing w:val="7"/>
          <w:sz w:val="24"/>
        </w:rPr>
        <w:t xml:space="preserve"> </w:t>
      </w:r>
      <w:r>
        <w:rPr>
          <w:spacing w:val="-2"/>
          <w:sz w:val="24"/>
        </w:rPr>
        <w:t>Memorandum;</w:t>
      </w:r>
    </w:p>
    <w:p w14:paraId="68E9E769" w14:textId="77777777" w:rsidR="00406550" w:rsidRDefault="001B59CE">
      <w:pPr>
        <w:pStyle w:val="BodyText"/>
        <w:ind w:left="119" w:right="115"/>
      </w:pPr>
      <w:r>
        <w:t>(B) it understands the inherent limitations of the information contained under the "U.S. Credit Risk Retention" section heading in the Offering Memorandum and has been afforded an opportunity to request and to review, and has received,</w:t>
      </w:r>
      <w:r>
        <w:t xml:space="preserve"> all additional information considered by</w:t>
      </w:r>
      <w:r>
        <w:rPr>
          <w:spacing w:val="40"/>
        </w:rPr>
        <w:t xml:space="preserve"> </w:t>
      </w:r>
      <w:r>
        <w:t>it to be necessary to verify the accuracy of, or to supplement the information under, the "U.S. Credit Risk Retention" section heading in the Offering Memorandum; (C) it has had sufficient time to make and has made</w:t>
      </w:r>
      <w:r>
        <w:t xml:space="preserve"> its own independent evaluation of the fair value calculation (including the related methodology, inputs and/or assumptions) described under the "U.S. Credit Risk Retention" section heading in the Offering Memorandum; (D) it has made its own independent de</w:t>
      </w:r>
      <w:r>
        <w:t>cision regarding an investment in the Securities without reliance upon, or use of, in any manner whatsoever the information contained under the "U.S. Credit Risk Retention" section</w:t>
      </w:r>
      <w:r>
        <w:rPr>
          <w:spacing w:val="-1"/>
        </w:rPr>
        <w:t xml:space="preserve"> </w:t>
      </w:r>
      <w:r>
        <w:t>heading</w:t>
      </w:r>
      <w:r>
        <w:rPr>
          <w:spacing w:val="-1"/>
        </w:rPr>
        <w:t xml:space="preserve"> </w:t>
      </w:r>
      <w:r>
        <w:t>in</w:t>
      </w:r>
      <w:r>
        <w:rPr>
          <w:spacing w:val="-1"/>
        </w:rPr>
        <w:t xml:space="preserve"> </w:t>
      </w:r>
      <w:r>
        <w:t>the</w:t>
      </w:r>
      <w:r>
        <w:rPr>
          <w:spacing w:val="-1"/>
        </w:rPr>
        <w:t xml:space="preserve"> </w:t>
      </w:r>
      <w:r>
        <w:t>Offering</w:t>
      </w:r>
      <w:r>
        <w:rPr>
          <w:spacing w:val="-1"/>
        </w:rPr>
        <w:t xml:space="preserve"> </w:t>
      </w:r>
      <w:r>
        <w:t>Memorandum;</w:t>
      </w:r>
      <w:r>
        <w:rPr>
          <w:spacing w:val="-1"/>
        </w:rPr>
        <w:t xml:space="preserve"> </w:t>
      </w:r>
      <w:r>
        <w:t>and</w:t>
      </w:r>
      <w:r>
        <w:rPr>
          <w:spacing w:val="-1"/>
        </w:rPr>
        <w:t xml:space="preserve"> </w:t>
      </w:r>
      <w:r>
        <w:t>(E)</w:t>
      </w:r>
      <w:r>
        <w:rPr>
          <w:spacing w:val="-1"/>
        </w:rPr>
        <w:t xml:space="preserve"> </w:t>
      </w:r>
      <w:r>
        <w:t>it</w:t>
      </w:r>
      <w:r>
        <w:rPr>
          <w:spacing w:val="-1"/>
        </w:rPr>
        <w:t xml:space="preserve"> </w:t>
      </w:r>
      <w:r>
        <w:t>understands</w:t>
      </w:r>
      <w:r>
        <w:rPr>
          <w:spacing w:val="-1"/>
        </w:rPr>
        <w:t xml:space="preserve"> </w:t>
      </w:r>
      <w:r>
        <w:t>that</w:t>
      </w:r>
      <w:r>
        <w:rPr>
          <w:spacing w:val="-1"/>
        </w:rPr>
        <w:t xml:space="preserve"> </w:t>
      </w:r>
      <w:r>
        <w:t>the</w:t>
      </w:r>
      <w:r>
        <w:rPr>
          <w:spacing w:val="-1"/>
        </w:rPr>
        <w:t xml:space="preserve"> </w:t>
      </w:r>
      <w:r>
        <w:t>Collate</w:t>
      </w:r>
      <w:r>
        <w:t>ral</w:t>
      </w:r>
      <w:r>
        <w:rPr>
          <w:spacing w:val="-1"/>
        </w:rPr>
        <w:t xml:space="preserve"> </w:t>
      </w:r>
      <w:r>
        <w:t>Manager is relying on the foregoing as a material inducement to enter the Collateral Management Agreement and otherwise would not enter into the Collateral Management Agreement.</w:t>
      </w:r>
    </w:p>
    <w:p w14:paraId="705F86FA" w14:textId="77777777" w:rsidR="00406550" w:rsidRDefault="001B59CE">
      <w:pPr>
        <w:pStyle w:val="ListParagraph"/>
        <w:numPr>
          <w:ilvl w:val="0"/>
          <w:numId w:val="7"/>
        </w:numPr>
        <w:tabs>
          <w:tab w:val="left" w:pos="749"/>
        </w:tabs>
        <w:spacing w:before="199"/>
        <w:ind w:left="119" w:right="116" w:firstLine="0"/>
        <w:jc w:val="both"/>
        <w:rPr>
          <w:sz w:val="24"/>
        </w:rPr>
      </w:pPr>
      <w:r>
        <w:rPr>
          <w:sz w:val="24"/>
        </w:rPr>
        <w:t>(A)Its acquisition, holding and disposition of Income Notes will not const</w:t>
      </w:r>
      <w:r>
        <w:rPr>
          <w:sz w:val="24"/>
        </w:rPr>
        <w:t>itute or result in a prohibited transaction under Section 406 of ERISA or Section 4975 of the Code (or in a violation of any Similar Law or other applicable law) unless an exemption is available and all conditions have been satisfied.</w:t>
      </w:r>
    </w:p>
    <w:p w14:paraId="1BCA0AE0" w14:textId="77777777" w:rsidR="00406550" w:rsidRDefault="00406550">
      <w:pPr>
        <w:jc w:val="both"/>
        <w:rPr>
          <w:sz w:val="24"/>
        </w:rPr>
        <w:sectPr w:rsidR="00406550">
          <w:pgSz w:w="12240" w:h="15840"/>
          <w:pgMar w:top="1360" w:right="1320" w:bottom="980" w:left="1320" w:header="0" w:footer="789" w:gutter="0"/>
          <w:cols w:space="720"/>
        </w:sectPr>
      </w:pPr>
    </w:p>
    <w:p w14:paraId="310FF623" w14:textId="77777777" w:rsidR="00406550" w:rsidRDefault="001B59CE">
      <w:pPr>
        <w:pStyle w:val="ListParagraph"/>
        <w:numPr>
          <w:ilvl w:val="0"/>
          <w:numId w:val="6"/>
        </w:numPr>
        <w:tabs>
          <w:tab w:val="left" w:pos="1254"/>
        </w:tabs>
        <w:spacing w:before="76"/>
        <w:ind w:right="116" w:firstLine="0"/>
        <w:jc w:val="both"/>
        <w:rPr>
          <w:sz w:val="24"/>
        </w:rPr>
      </w:pPr>
      <w:r>
        <w:rPr>
          <w:sz w:val="24"/>
        </w:rPr>
        <w:lastRenderedPageBreak/>
        <w:t xml:space="preserve">For so </w:t>
      </w:r>
      <w:r>
        <w:rPr>
          <w:sz w:val="24"/>
        </w:rPr>
        <w:t>long as it holds a beneficial interest in Income Notes, it is not a Benefit Plan Investor or a Controlling Person (other than the Collateral Manager or an Affiliate thereof that</w:t>
      </w:r>
      <w:r>
        <w:rPr>
          <w:spacing w:val="-2"/>
          <w:sz w:val="24"/>
        </w:rPr>
        <w:t xml:space="preserve"> </w:t>
      </w:r>
      <w:r>
        <w:rPr>
          <w:sz w:val="24"/>
        </w:rPr>
        <w:t>has</w:t>
      </w:r>
      <w:r>
        <w:rPr>
          <w:spacing w:val="-2"/>
          <w:sz w:val="24"/>
        </w:rPr>
        <w:t xml:space="preserve"> </w:t>
      </w:r>
      <w:r>
        <w:rPr>
          <w:sz w:val="24"/>
        </w:rPr>
        <w:t>provided</w:t>
      </w:r>
      <w:r>
        <w:rPr>
          <w:spacing w:val="-2"/>
          <w:sz w:val="24"/>
        </w:rPr>
        <w:t xml:space="preserve"> </w:t>
      </w:r>
      <w:r>
        <w:rPr>
          <w:sz w:val="24"/>
        </w:rPr>
        <w:t>notice</w:t>
      </w:r>
      <w:r>
        <w:rPr>
          <w:spacing w:val="-2"/>
          <w:sz w:val="24"/>
        </w:rPr>
        <w:t xml:space="preserve"> </w:t>
      </w:r>
      <w:r>
        <w:rPr>
          <w:sz w:val="24"/>
        </w:rPr>
        <w:t>of</w:t>
      </w:r>
      <w:r>
        <w:rPr>
          <w:spacing w:val="-2"/>
          <w:sz w:val="24"/>
        </w:rPr>
        <w:t xml:space="preserve"> </w:t>
      </w:r>
      <w:r>
        <w:rPr>
          <w:sz w:val="24"/>
        </w:rPr>
        <w:t>their</w:t>
      </w:r>
      <w:r>
        <w:rPr>
          <w:spacing w:val="-2"/>
          <w:sz w:val="24"/>
        </w:rPr>
        <w:t xml:space="preserve"> </w:t>
      </w:r>
      <w:r>
        <w:rPr>
          <w:sz w:val="24"/>
        </w:rPr>
        <w:t>Controlling</w:t>
      </w:r>
      <w:r>
        <w:rPr>
          <w:spacing w:val="-2"/>
          <w:sz w:val="24"/>
        </w:rPr>
        <w:t xml:space="preserve"> </w:t>
      </w:r>
      <w:r>
        <w:rPr>
          <w:sz w:val="24"/>
        </w:rPr>
        <w:t>Person</w:t>
      </w:r>
      <w:r>
        <w:rPr>
          <w:spacing w:val="-2"/>
          <w:sz w:val="24"/>
        </w:rPr>
        <w:t xml:space="preserve"> </w:t>
      </w:r>
      <w:r>
        <w:rPr>
          <w:sz w:val="24"/>
        </w:rPr>
        <w:t>status</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Income</w:t>
      </w:r>
      <w:r>
        <w:rPr>
          <w:spacing w:val="-2"/>
          <w:sz w:val="24"/>
        </w:rPr>
        <w:t xml:space="preserve"> </w:t>
      </w:r>
      <w:r>
        <w:rPr>
          <w:sz w:val="24"/>
        </w:rPr>
        <w:t>Note</w:t>
      </w:r>
      <w:r>
        <w:rPr>
          <w:spacing w:val="-2"/>
          <w:sz w:val="24"/>
        </w:rPr>
        <w:t xml:space="preserve"> </w:t>
      </w:r>
      <w:r>
        <w:rPr>
          <w:sz w:val="24"/>
        </w:rPr>
        <w:t>Issu</w:t>
      </w:r>
      <w:r>
        <w:rPr>
          <w:sz w:val="24"/>
        </w:rPr>
        <w:t>er</w:t>
      </w:r>
      <w:r>
        <w:rPr>
          <w:spacing w:val="-2"/>
          <w:sz w:val="24"/>
        </w:rPr>
        <w:t xml:space="preserve"> </w:t>
      </w:r>
      <w:r>
        <w:rPr>
          <w:sz w:val="24"/>
        </w:rPr>
        <w:t>and</w:t>
      </w:r>
      <w:r>
        <w:rPr>
          <w:spacing w:val="-2"/>
          <w:sz w:val="24"/>
        </w:rPr>
        <w:t xml:space="preserve"> </w:t>
      </w:r>
      <w:r>
        <w:rPr>
          <w:sz w:val="24"/>
        </w:rPr>
        <w:t>such transfer will not cause participation in the Income Notes to be deemed to be "significant" under the ERISA Plan Asset Regulations).</w:t>
      </w:r>
    </w:p>
    <w:p w14:paraId="4C62707C" w14:textId="77777777" w:rsidR="00406550" w:rsidRDefault="001B59CE">
      <w:pPr>
        <w:pStyle w:val="ListParagraph"/>
        <w:numPr>
          <w:ilvl w:val="0"/>
          <w:numId w:val="6"/>
        </w:numPr>
        <w:tabs>
          <w:tab w:val="left" w:pos="1254"/>
        </w:tabs>
        <w:ind w:right="116" w:firstLine="0"/>
        <w:jc w:val="both"/>
        <w:rPr>
          <w:sz w:val="24"/>
        </w:rPr>
      </w:pPr>
      <w:r>
        <w:rPr>
          <w:sz w:val="24"/>
        </w:rPr>
        <w:t>It understands that the representations made in clauses (A) and (B) will be deemed made on each day from the dat</w:t>
      </w:r>
      <w:r>
        <w:rPr>
          <w:sz w:val="24"/>
        </w:rPr>
        <w:t>e of its acquisition of an interest in Income Notes through and including the date on which it disposes of such interest.</w:t>
      </w:r>
      <w:r>
        <w:rPr>
          <w:spacing w:val="40"/>
          <w:sz w:val="24"/>
        </w:rPr>
        <w:t xml:space="preserve"> </w:t>
      </w:r>
      <w:r>
        <w:rPr>
          <w:sz w:val="24"/>
        </w:rPr>
        <w:t>If any such representation becomes untrue, or if there is a change in its status as a Benefit Plan Investor or a Controlling Person,</w:t>
      </w:r>
      <w:r>
        <w:rPr>
          <w:spacing w:val="40"/>
          <w:sz w:val="24"/>
        </w:rPr>
        <w:t xml:space="preserve"> </w:t>
      </w:r>
      <w:r>
        <w:rPr>
          <w:sz w:val="24"/>
        </w:rPr>
        <w:t>it will promptly notify the Income Note Issuer and the Income Note Paying Agent.</w:t>
      </w:r>
    </w:p>
    <w:p w14:paraId="778221BB" w14:textId="77777777" w:rsidR="00406550" w:rsidRDefault="001B59CE">
      <w:pPr>
        <w:pStyle w:val="ListParagraph"/>
        <w:numPr>
          <w:ilvl w:val="0"/>
          <w:numId w:val="6"/>
        </w:numPr>
        <w:tabs>
          <w:tab w:val="left" w:pos="1254"/>
        </w:tabs>
        <w:spacing w:before="199"/>
        <w:ind w:firstLine="0"/>
        <w:jc w:val="both"/>
        <w:rPr>
          <w:sz w:val="24"/>
        </w:rPr>
      </w:pPr>
      <w:r>
        <w:rPr>
          <w:sz w:val="24"/>
        </w:rPr>
        <w:t>Each purchaser or transferee of an Income Note that is a Benefit Plan Investor represents and agrees that: (A) the person or entity making the investment decision on behalf of</w:t>
      </w:r>
      <w:r>
        <w:rPr>
          <w:sz w:val="24"/>
        </w:rPr>
        <w:t xml:space="preserve"> such purchaser with respect to the purchase of this Income Note is "independent" (within the meaning of 29 CFR 2510.3-21) and is one of the following: (I) a bank as defined in section 202 of the Investment Advisers Act or similar institution that is regul</w:t>
      </w:r>
      <w:r>
        <w:rPr>
          <w:sz w:val="24"/>
        </w:rPr>
        <w:t xml:space="preserve">ated and supervised and subject to periodic examination by a state or federal agency; (II) an insurance carrier that is qualified under the laws of more than one state to perform the services of managing, acquiring or disposing of assets of a Benefit Plan </w:t>
      </w:r>
      <w:r>
        <w:rPr>
          <w:sz w:val="24"/>
        </w:rPr>
        <w:t>Investor; (III) an investment adviser registered under the Investment Advisers Act or, if not registered an as investment adviser under the Investment Advisers Act by reason of paragraph (1) of section 203A of the Investment Advisers Act is registered as a</w:t>
      </w:r>
      <w:r>
        <w:rPr>
          <w:sz w:val="24"/>
        </w:rPr>
        <w:t>n investment adviser under the laws of the state (referred to in such paragraph (1)) in which it maintains its principal office and place of business; (IV) a broker-dealer registered under the Exchange Act; or (V) an independent fiduciary</w:t>
      </w:r>
      <w:r>
        <w:rPr>
          <w:spacing w:val="5"/>
          <w:sz w:val="24"/>
        </w:rPr>
        <w:t xml:space="preserve"> </w:t>
      </w:r>
      <w:r>
        <w:rPr>
          <w:sz w:val="24"/>
        </w:rPr>
        <w:t>that</w:t>
      </w:r>
      <w:r>
        <w:rPr>
          <w:spacing w:val="8"/>
          <w:sz w:val="24"/>
        </w:rPr>
        <w:t xml:space="preserve"> </w:t>
      </w:r>
      <w:r>
        <w:rPr>
          <w:sz w:val="24"/>
        </w:rPr>
        <w:t>holds,</w:t>
      </w:r>
      <w:r>
        <w:rPr>
          <w:spacing w:val="7"/>
          <w:sz w:val="24"/>
        </w:rPr>
        <w:t xml:space="preserve"> </w:t>
      </w:r>
      <w:r>
        <w:rPr>
          <w:sz w:val="24"/>
        </w:rPr>
        <w:t>or</w:t>
      </w:r>
      <w:r>
        <w:rPr>
          <w:spacing w:val="7"/>
          <w:sz w:val="24"/>
        </w:rPr>
        <w:t xml:space="preserve"> </w:t>
      </w:r>
      <w:r>
        <w:rPr>
          <w:sz w:val="24"/>
        </w:rPr>
        <w:t>ha</w:t>
      </w:r>
      <w:r>
        <w:rPr>
          <w:sz w:val="24"/>
        </w:rPr>
        <w:t>s</w:t>
      </w:r>
      <w:r>
        <w:rPr>
          <w:spacing w:val="8"/>
          <w:sz w:val="24"/>
        </w:rPr>
        <w:t xml:space="preserve"> </w:t>
      </w:r>
      <w:r>
        <w:rPr>
          <w:sz w:val="24"/>
        </w:rPr>
        <w:t>under</w:t>
      </w:r>
      <w:r>
        <w:rPr>
          <w:spacing w:val="8"/>
          <w:sz w:val="24"/>
        </w:rPr>
        <w:t xml:space="preserve"> </w:t>
      </w:r>
      <w:r>
        <w:rPr>
          <w:sz w:val="24"/>
        </w:rPr>
        <w:t>management</w:t>
      </w:r>
      <w:r>
        <w:rPr>
          <w:spacing w:val="8"/>
          <w:sz w:val="24"/>
        </w:rPr>
        <w:t xml:space="preserve"> </w:t>
      </w:r>
      <w:r>
        <w:rPr>
          <w:sz w:val="24"/>
        </w:rPr>
        <w:t>or</w:t>
      </w:r>
      <w:r>
        <w:rPr>
          <w:spacing w:val="9"/>
          <w:sz w:val="24"/>
        </w:rPr>
        <w:t xml:space="preserve"> </w:t>
      </w:r>
      <w:r>
        <w:rPr>
          <w:sz w:val="24"/>
        </w:rPr>
        <w:t>control,</w:t>
      </w:r>
      <w:r>
        <w:rPr>
          <w:spacing w:val="7"/>
          <w:sz w:val="24"/>
        </w:rPr>
        <w:t xml:space="preserve"> </w:t>
      </w:r>
      <w:r>
        <w:rPr>
          <w:sz w:val="24"/>
        </w:rPr>
        <w:t>total</w:t>
      </w:r>
      <w:r>
        <w:rPr>
          <w:spacing w:val="8"/>
          <w:sz w:val="24"/>
        </w:rPr>
        <w:t xml:space="preserve"> </w:t>
      </w:r>
      <w:r>
        <w:rPr>
          <w:sz w:val="24"/>
        </w:rPr>
        <w:t>assets</w:t>
      </w:r>
      <w:r>
        <w:rPr>
          <w:spacing w:val="8"/>
          <w:sz w:val="24"/>
        </w:rPr>
        <w:t xml:space="preserve"> </w:t>
      </w:r>
      <w:r>
        <w:rPr>
          <w:sz w:val="24"/>
        </w:rPr>
        <w:t>of</w:t>
      </w:r>
      <w:r>
        <w:rPr>
          <w:spacing w:val="7"/>
          <w:sz w:val="24"/>
        </w:rPr>
        <w:t xml:space="preserve"> </w:t>
      </w:r>
      <w:r>
        <w:rPr>
          <w:sz w:val="24"/>
        </w:rPr>
        <w:t>at</w:t>
      </w:r>
      <w:r>
        <w:rPr>
          <w:spacing w:val="9"/>
          <w:sz w:val="24"/>
        </w:rPr>
        <w:t xml:space="preserve"> </w:t>
      </w:r>
      <w:r>
        <w:rPr>
          <w:sz w:val="24"/>
        </w:rPr>
        <w:t>least</w:t>
      </w:r>
      <w:r>
        <w:rPr>
          <w:spacing w:val="9"/>
          <w:sz w:val="24"/>
        </w:rPr>
        <w:t xml:space="preserve"> </w:t>
      </w:r>
      <w:r>
        <w:rPr>
          <w:sz w:val="24"/>
        </w:rPr>
        <w:t>$50</w:t>
      </w:r>
      <w:r>
        <w:rPr>
          <w:spacing w:val="9"/>
          <w:sz w:val="24"/>
        </w:rPr>
        <w:t xml:space="preserve"> </w:t>
      </w:r>
      <w:r>
        <w:rPr>
          <w:spacing w:val="-2"/>
          <w:sz w:val="24"/>
        </w:rPr>
        <w:t>million;</w:t>
      </w:r>
    </w:p>
    <w:p w14:paraId="5654F739" w14:textId="77777777" w:rsidR="00406550" w:rsidRDefault="001B59CE">
      <w:pPr>
        <w:pStyle w:val="BodyText"/>
        <w:spacing w:before="1"/>
        <w:ind w:left="480" w:right="116"/>
      </w:pPr>
      <w:r>
        <w:t xml:space="preserve">(B) the person or entity making the investment decision on behalf of such purchaser or transferee with respect to the transaction is capable of evaluating investment risks independently, </w:t>
      </w:r>
      <w:r>
        <w:t xml:space="preserve">both in general and with regard to particular transactions and investment strategies; (C) the person or entity making the investment decision on behalf of such purchaser or transferee with respect to the transaction is a fiduciary under ERISA or the Code, </w:t>
      </w:r>
      <w:r>
        <w:t xml:space="preserve">or both, with respect to the transaction and is responsible for exercising independent judgment in evaluating the transaction; and (D) no fee or other compensation is being paid directly to Issuers, the Income Note Issuer, the Initial Purchaser, Retention </w:t>
      </w:r>
      <w:r>
        <w:t>Holder, the Collateral Trustee, the Collateral Administrator, the Administrator, the Collateral Manager, the Income Note Paying Agent, the Income Note Registrar or any affiliate thereof for investment advice (as opposed to other services) in connection wit</w:t>
      </w:r>
      <w:r>
        <w:t>h the transaction.</w:t>
      </w:r>
    </w:p>
    <w:p w14:paraId="149D1BF4" w14:textId="77777777" w:rsidR="00406550" w:rsidRDefault="001B59CE">
      <w:pPr>
        <w:pStyle w:val="ListParagraph"/>
        <w:numPr>
          <w:ilvl w:val="0"/>
          <w:numId w:val="6"/>
        </w:numPr>
        <w:tabs>
          <w:tab w:val="left" w:pos="1255"/>
        </w:tabs>
        <w:spacing w:before="199"/>
        <w:ind w:firstLine="0"/>
        <w:jc w:val="both"/>
        <w:rPr>
          <w:sz w:val="24"/>
        </w:rPr>
      </w:pPr>
      <w:r>
        <w:rPr>
          <w:sz w:val="24"/>
        </w:rPr>
        <w:t>Each of the Issuers, the Income Note Issuer, the Initial Purchaser, the Retention Holder, the Collateral Trustee, the Collateral Administrator, the Administrator, the Collateral Manager, the Income Note Paying Agent, the Income Note Registrar and its respe</w:t>
      </w:r>
      <w:r>
        <w:rPr>
          <w:sz w:val="24"/>
        </w:rPr>
        <w:t>ctive affiliates is considered to have informed each purchaser or transferee of an Income Note that is a Benefit Plan Investor that none of Issuers, the Income Note Issuer, the Initial Purchaser, Retention Holder, the Collateral Trustee, the Collateral Adm</w:t>
      </w:r>
      <w:r>
        <w:rPr>
          <w:sz w:val="24"/>
        </w:rPr>
        <w:t>inistrator, the Administrator, the Collateral Manager, the Income Note Paying Agent, the Income Note Registrar and its affiliates has undertaken nor is undertaking to provide investment advice (impartial or otherwise),</w:t>
      </w:r>
      <w:r>
        <w:rPr>
          <w:spacing w:val="24"/>
          <w:sz w:val="24"/>
        </w:rPr>
        <w:t xml:space="preserve"> </w:t>
      </w:r>
      <w:r>
        <w:rPr>
          <w:sz w:val="24"/>
        </w:rPr>
        <w:t>or</w:t>
      </w:r>
      <w:r>
        <w:rPr>
          <w:spacing w:val="28"/>
          <w:sz w:val="24"/>
        </w:rPr>
        <w:t xml:space="preserve"> </w:t>
      </w:r>
      <w:r>
        <w:rPr>
          <w:sz w:val="24"/>
        </w:rPr>
        <w:t>to</w:t>
      </w:r>
      <w:r>
        <w:rPr>
          <w:spacing w:val="27"/>
          <w:sz w:val="24"/>
        </w:rPr>
        <w:t xml:space="preserve"> </w:t>
      </w:r>
      <w:r>
        <w:rPr>
          <w:sz w:val="24"/>
        </w:rPr>
        <w:t>give</w:t>
      </w:r>
      <w:r>
        <w:rPr>
          <w:spacing w:val="28"/>
          <w:sz w:val="24"/>
        </w:rPr>
        <w:t xml:space="preserve"> </w:t>
      </w:r>
      <w:r>
        <w:rPr>
          <w:sz w:val="24"/>
        </w:rPr>
        <w:t>advice</w:t>
      </w:r>
      <w:r>
        <w:rPr>
          <w:spacing w:val="27"/>
          <w:sz w:val="24"/>
        </w:rPr>
        <w:t xml:space="preserve"> </w:t>
      </w:r>
      <w:r>
        <w:rPr>
          <w:sz w:val="24"/>
        </w:rPr>
        <w:t>in</w:t>
      </w:r>
      <w:r>
        <w:rPr>
          <w:spacing w:val="29"/>
          <w:sz w:val="24"/>
        </w:rPr>
        <w:t xml:space="preserve"> </w:t>
      </w:r>
      <w:r>
        <w:rPr>
          <w:sz w:val="24"/>
        </w:rPr>
        <w:t>a</w:t>
      </w:r>
      <w:r>
        <w:rPr>
          <w:spacing w:val="28"/>
          <w:sz w:val="24"/>
        </w:rPr>
        <w:t xml:space="preserve"> </w:t>
      </w:r>
      <w:r>
        <w:rPr>
          <w:sz w:val="24"/>
        </w:rPr>
        <w:t>fiduciary</w:t>
      </w:r>
      <w:r>
        <w:rPr>
          <w:spacing w:val="29"/>
          <w:sz w:val="24"/>
        </w:rPr>
        <w:t xml:space="preserve"> </w:t>
      </w:r>
      <w:r>
        <w:rPr>
          <w:sz w:val="24"/>
        </w:rPr>
        <w:t>or</w:t>
      </w:r>
      <w:r>
        <w:rPr>
          <w:spacing w:val="27"/>
          <w:sz w:val="24"/>
        </w:rPr>
        <w:t xml:space="preserve"> </w:t>
      </w:r>
      <w:r>
        <w:rPr>
          <w:sz w:val="24"/>
        </w:rPr>
        <w:t>a</w:t>
      </w:r>
      <w:r>
        <w:rPr>
          <w:sz w:val="24"/>
        </w:rPr>
        <w:t>ny</w:t>
      </w:r>
      <w:r>
        <w:rPr>
          <w:spacing w:val="29"/>
          <w:sz w:val="24"/>
        </w:rPr>
        <w:t xml:space="preserve"> </w:t>
      </w:r>
      <w:r>
        <w:rPr>
          <w:sz w:val="24"/>
        </w:rPr>
        <w:t>other</w:t>
      </w:r>
      <w:r>
        <w:rPr>
          <w:spacing w:val="27"/>
          <w:sz w:val="24"/>
        </w:rPr>
        <w:t xml:space="preserve"> </w:t>
      </w:r>
      <w:r>
        <w:rPr>
          <w:sz w:val="24"/>
        </w:rPr>
        <w:t>capacity,</w:t>
      </w:r>
      <w:r>
        <w:rPr>
          <w:spacing w:val="27"/>
          <w:sz w:val="24"/>
        </w:rPr>
        <w:t xml:space="preserve"> </w:t>
      </w:r>
      <w:r>
        <w:rPr>
          <w:sz w:val="24"/>
        </w:rPr>
        <w:t>in</w:t>
      </w:r>
      <w:r>
        <w:rPr>
          <w:spacing w:val="28"/>
          <w:sz w:val="24"/>
        </w:rPr>
        <w:t xml:space="preserve"> </w:t>
      </w:r>
      <w:r>
        <w:rPr>
          <w:sz w:val="24"/>
        </w:rPr>
        <w:t>connection</w:t>
      </w:r>
      <w:r>
        <w:rPr>
          <w:spacing w:val="29"/>
          <w:sz w:val="24"/>
        </w:rPr>
        <w:t xml:space="preserve"> </w:t>
      </w:r>
      <w:r>
        <w:rPr>
          <w:sz w:val="24"/>
        </w:rPr>
        <w:t>with</w:t>
      </w:r>
      <w:r>
        <w:rPr>
          <w:spacing w:val="29"/>
          <w:sz w:val="24"/>
        </w:rPr>
        <w:t xml:space="preserve"> </w:t>
      </w:r>
      <w:r>
        <w:rPr>
          <w:spacing w:val="-4"/>
          <w:sz w:val="24"/>
        </w:rPr>
        <w:t>such</w:t>
      </w:r>
    </w:p>
    <w:p w14:paraId="6A4615BD" w14:textId="77777777" w:rsidR="00406550" w:rsidRDefault="00406550">
      <w:pPr>
        <w:jc w:val="both"/>
        <w:rPr>
          <w:sz w:val="24"/>
        </w:rPr>
        <w:sectPr w:rsidR="00406550">
          <w:pgSz w:w="12240" w:h="15840"/>
          <w:pgMar w:top="1360" w:right="1320" w:bottom="980" w:left="1320" w:header="0" w:footer="789" w:gutter="0"/>
          <w:cols w:space="720"/>
        </w:sectPr>
      </w:pPr>
    </w:p>
    <w:p w14:paraId="1DBCD30C" w14:textId="77777777" w:rsidR="00406550" w:rsidRDefault="001B59CE">
      <w:pPr>
        <w:pStyle w:val="BodyText"/>
        <w:spacing w:before="76"/>
        <w:ind w:left="480" w:right="116"/>
      </w:pPr>
      <w:r>
        <w:lastRenderedPageBreak/>
        <w:t>purchaser's or transferee's acquisition of an Income Note, and that each of the Issuers, the Income Note Issuer, the Initial Purchaser, the Retention Holder, the Collateral Trustee, the Collateral Ad</w:t>
      </w:r>
      <w:r>
        <w:t>ministrator, the Administrator, the Collateral</w:t>
      </w:r>
      <w:r>
        <w:rPr>
          <w:spacing w:val="-1"/>
        </w:rPr>
        <w:t xml:space="preserve"> </w:t>
      </w:r>
      <w:r>
        <w:t>Manager, the Income Note Paying Agent, the Income Note Registrar and its affiliates has a financial interest in the transaction</w:t>
      </w:r>
      <w:r>
        <w:rPr>
          <w:spacing w:val="40"/>
        </w:rPr>
        <w:t xml:space="preserve"> </w:t>
      </w:r>
      <w:r>
        <w:t>in that the Issuers, the Income Note Issuer, the Initial Purchaser, the Retention Holder, the Collateral Trustee, the Collateral Administrator, the Administrator, the Collateral Manager, the Income Note Paying Agent, the Income Note Registrar, or an affili</w:t>
      </w:r>
      <w:r>
        <w:t>ate thereof, may receive fees or other payments in connection with the transaction pursuant to the Transaction Documents or otherwise.</w:t>
      </w:r>
    </w:p>
    <w:p w14:paraId="6FF92F99" w14:textId="77777777" w:rsidR="00406550" w:rsidRDefault="001B59CE">
      <w:pPr>
        <w:pStyle w:val="ListParagraph"/>
        <w:numPr>
          <w:ilvl w:val="0"/>
          <w:numId w:val="7"/>
        </w:numPr>
        <w:tabs>
          <w:tab w:val="left" w:pos="1255"/>
        </w:tabs>
        <w:spacing w:before="200"/>
        <w:ind w:left="480" w:right="116" w:firstLine="0"/>
        <w:jc w:val="both"/>
        <w:rPr>
          <w:sz w:val="24"/>
        </w:rPr>
      </w:pPr>
      <w:r>
        <w:rPr>
          <w:sz w:val="24"/>
        </w:rPr>
        <w:t>It understands that the Income Note Issuer, the Income Note Paying Agent, the Income Note Registrar and the Initial Purch</w:t>
      </w:r>
      <w:r>
        <w:rPr>
          <w:sz w:val="24"/>
        </w:rPr>
        <w:t xml:space="preserve">aser and their respective counsel will rely upon the accuracy and truth of the foregoing representations, and it hereby consents to such </w:t>
      </w:r>
      <w:r>
        <w:rPr>
          <w:spacing w:val="-2"/>
          <w:sz w:val="24"/>
        </w:rPr>
        <w:t>reliance.</w:t>
      </w:r>
    </w:p>
    <w:p w14:paraId="45A40248" w14:textId="77777777" w:rsidR="00406550" w:rsidRDefault="00406550">
      <w:pPr>
        <w:jc w:val="both"/>
        <w:rPr>
          <w:sz w:val="24"/>
        </w:rPr>
        <w:sectPr w:rsidR="00406550">
          <w:pgSz w:w="12240" w:h="15840"/>
          <w:pgMar w:top="1360" w:right="1320" w:bottom="980" w:left="1320" w:header="0" w:footer="789" w:gutter="0"/>
          <w:cols w:space="720"/>
        </w:sectPr>
      </w:pPr>
    </w:p>
    <w:p w14:paraId="3FF86E2E" w14:textId="77777777" w:rsidR="00406550" w:rsidRDefault="001B59CE">
      <w:pPr>
        <w:pStyle w:val="BodyText"/>
        <w:spacing w:before="76"/>
        <w:ind w:right="7572"/>
        <w:jc w:val="left"/>
      </w:pPr>
      <w:r>
        <w:lastRenderedPageBreak/>
        <w:t>Name</w:t>
      </w:r>
      <w:r>
        <w:rPr>
          <w:spacing w:val="-2"/>
        </w:rPr>
        <w:t xml:space="preserve"> </w:t>
      </w:r>
      <w:r>
        <w:t>of</w:t>
      </w:r>
      <w:r>
        <w:rPr>
          <w:spacing w:val="-2"/>
        </w:rPr>
        <w:t xml:space="preserve"> Purchaser:</w:t>
      </w:r>
    </w:p>
    <w:p w14:paraId="38A7B560" w14:textId="77777777" w:rsidR="00406550" w:rsidRDefault="001B59CE">
      <w:pPr>
        <w:pStyle w:val="BodyText"/>
        <w:ind w:right="7572"/>
        <w:jc w:val="left"/>
      </w:pPr>
      <w:r>
        <w:rPr>
          <w:spacing w:val="-2"/>
        </w:rPr>
        <w:t>Dated:</w:t>
      </w:r>
    </w:p>
    <w:p w14:paraId="14E5F57A" w14:textId="77777777" w:rsidR="00406550" w:rsidRDefault="00406550">
      <w:pPr>
        <w:pStyle w:val="BodyText"/>
        <w:ind w:left="0"/>
        <w:jc w:val="left"/>
        <w:rPr>
          <w:sz w:val="20"/>
        </w:rPr>
      </w:pPr>
    </w:p>
    <w:p w14:paraId="5506F561" w14:textId="77777777" w:rsidR="00406550" w:rsidRDefault="001B59CE">
      <w:pPr>
        <w:pStyle w:val="BodyText"/>
        <w:spacing w:before="11"/>
        <w:ind w:left="0"/>
        <w:jc w:val="left"/>
        <w:rPr>
          <w:sz w:val="18"/>
        </w:rPr>
      </w:pPr>
      <w:r>
        <w:pict w14:anchorId="1A966705">
          <v:shape id="docshape2" o:spid="_x0000_s2052" style="position:absolute;margin-left:1in;margin-top:12.1pt;width:210pt;height:.1pt;z-index:-15728640;mso-wrap-distance-left:0;mso-wrap-distance-right:0;mso-position-horizontal-relative:page" coordorigin="1440,242" coordsize="4200,0" path="m1440,242r4200,e" filled="f" strokeweight=".48pt">
            <v:path arrowok="t"/>
            <w10:wrap type="topAndBottom" anchorx="page"/>
          </v:shape>
        </w:pict>
      </w:r>
    </w:p>
    <w:p w14:paraId="07005C97" w14:textId="77777777" w:rsidR="00406550" w:rsidRDefault="001B59CE">
      <w:pPr>
        <w:pStyle w:val="BodyText"/>
        <w:jc w:val="left"/>
      </w:pPr>
      <w:r>
        <w:rPr>
          <w:spacing w:val="-5"/>
        </w:rPr>
        <w:t>By:</w:t>
      </w:r>
    </w:p>
    <w:p w14:paraId="33ECB1DF" w14:textId="77777777" w:rsidR="00406550" w:rsidRDefault="001B59CE">
      <w:pPr>
        <w:pStyle w:val="BodyText"/>
        <w:jc w:val="left"/>
      </w:pPr>
      <w:r>
        <w:rPr>
          <w:spacing w:val="-4"/>
        </w:rPr>
        <w:t>Name:</w:t>
      </w:r>
    </w:p>
    <w:p w14:paraId="1A708783" w14:textId="77777777" w:rsidR="00406550" w:rsidRDefault="001B59CE">
      <w:pPr>
        <w:pStyle w:val="BodyText"/>
        <w:jc w:val="left"/>
      </w:pPr>
      <w:r>
        <w:rPr>
          <w:spacing w:val="-2"/>
        </w:rPr>
        <w:t>Title:</w:t>
      </w:r>
    </w:p>
    <w:p w14:paraId="6A0B7BB6" w14:textId="77777777" w:rsidR="00406550" w:rsidRDefault="00406550">
      <w:pPr>
        <w:pStyle w:val="BodyText"/>
        <w:spacing w:before="10"/>
        <w:ind w:left="0"/>
        <w:jc w:val="left"/>
        <w:rPr>
          <w:sz w:val="20"/>
        </w:rPr>
      </w:pPr>
    </w:p>
    <w:p w14:paraId="5595EE20" w14:textId="77777777" w:rsidR="00406550" w:rsidRDefault="001B59CE">
      <w:pPr>
        <w:pStyle w:val="BodyText"/>
        <w:tabs>
          <w:tab w:val="left" w:pos="3086"/>
          <w:tab w:val="left" w:pos="6791"/>
        </w:tabs>
        <w:ind w:right="2805"/>
        <w:jc w:val="left"/>
      </w:pPr>
      <w:r>
        <w:t>Aggregate Outstanding Amount of Income Notes:</w:t>
      </w:r>
      <w:r>
        <w:rPr>
          <w:spacing w:val="40"/>
        </w:rPr>
        <w:t xml:space="preserve"> </w:t>
      </w:r>
      <w:r>
        <w:t>U.</w:t>
      </w:r>
      <w:r>
        <w:t>S.$</w:t>
      </w:r>
      <w:r>
        <w:rPr>
          <w:u w:val="single"/>
        </w:rPr>
        <w:tab/>
      </w:r>
      <w:r>
        <w:t xml:space="preserve"> CUSIP: </w:t>
      </w:r>
      <w:r>
        <w:rPr>
          <w:u w:val="single"/>
        </w:rPr>
        <w:tab/>
      </w:r>
    </w:p>
    <w:p w14:paraId="73DD28E0" w14:textId="77777777" w:rsidR="00406550" w:rsidRDefault="00406550">
      <w:pPr>
        <w:pStyle w:val="BodyText"/>
        <w:spacing w:before="10"/>
        <w:ind w:left="0"/>
        <w:jc w:val="left"/>
        <w:rPr>
          <w:sz w:val="20"/>
        </w:rPr>
      </w:pPr>
    </w:p>
    <w:p w14:paraId="0675FEC2" w14:textId="77777777" w:rsidR="00406550" w:rsidRDefault="001B59CE">
      <w:pPr>
        <w:pStyle w:val="BodyText"/>
        <w:tabs>
          <w:tab w:val="left" w:pos="750"/>
        </w:tabs>
        <w:ind w:left="750" w:right="4975" w:hanging="630"/>
        <w:jc w:val="left"/>
      </w:pPr>
      <w:r>
        <w:rPr>
          <w:spacing w:val="-4"/>
        </w:rPr>
        <w:t>cc:</w:t>
      </w:r>
      <w:r>
        <w:tab/>
        <w:t>Marble</w:t>
      </w:r>
      <w:r>
        <w:rPr>
          <w:spacing w:val="-7"/>
        </w:rPr>
        <w:t xml:space="preserve"> </w:t>
      </w:r>
      <w:r>
        <w:t>Point</w:t>
      </w:r>
      <w:r>
        <w:rPr>
          <w:spacing w:val="-7"/>
        </w:rPr>
        <w:t xml:space="preserve"> </w:t>
      </w:r>
      <w:r>
        <w:t>CLO</w:t>
      </w:r>
      <w:r>
        <w:rPr>
          <w:spacing w:val="-7"/>
        </w:rPr>
        <w:t xml:space="preserve"> </w:t>
      </w:r>
      <w:r>
        <w:t>XI</w:t>
      </w:r>
      <w:r>
        <w:rPr>
          <w:spacing w:val="-7"/>
        </w:rPr>
        <w:t xml:space="preserve"> </w:t>
      </w:r>
      <w:r>
        <w:t>Income</w:t>
      </w:r>
      <w:r>
        <w:rPr>
          <w:spacing w:val="-7"/>
        </w:rPr>
        <w:t xml:space="preserve"> </w:t>
      </w:r>
      <w:r>
        <w:t>Note</w:t>
      </w:r>
      <w:r>
        <w:rPr>
          <w:spacing w:val="-7"/>
        </w:rPr>
        <w:t xml:space="preserve"> </w:t>
      </w:r>
      <w:r>
        <w:t>Ltd. c/o Estera Trust (Cayman) Limited</w:t>
      </w:r>
    </w:p>
    <w:p w14:paraId="77BB02CF" w14:textId="77777777" w:rsidR="00406550" w:rsidRDefault="001B59CE">
      <w:pPr>
        <w:pStyle w:val="BodyText"/>
        <w:ind w:left="750" w:right="4095"/>
        <w:jc w:val="left"/>
      </w:pPr>
      <w:r>
        <w:t>Clifton</w:t>
      </w:r>
      <w:r>
        <w:rPr>
          <w:spacing w:val="-6"/>
        </w:rPr>
        <w:t xml:space="preserve"> </w:t>
      </w:r>
      <w:r>
        <w:t>House,</w:t>
      </w:r>
      <w:r>
        <w:rPr>
          <w:spacing w:val="-7"/>
        </w:rPr>
        <w:t xml:space="preserve"> </w:t>
      </w:r>
      <w:r>
        <w:t>75</w:t>
      </w:r>
      <w:r>
        <w:rPr>
          <w:spacing w:val="-6"/>
        </w:rPr>
        <w:t xml:space="preserve"> </w:t>
      </w:r>
      <w:r>
        <w:t>Fort</w:t>
      </w:r>
      <w:r>
        <w:rPr>
          <w:spacing w:val="-7"/>
        </w:rPr>
        <w:t xml:space="preserve"> </w:t>
      </w:r>
      <w:r>
        <w:t>Street,</w:t>
      </w:r>
      <w:r>
        <w:rPr>
          <w:spacing w:val="-6"/>
        </w:rPr>
        <w:t xml:space="preserve"> </w:t>
      </w:r>
      <w:r>
        <w:t>PO</w:t>
      </w:r>
      <w:r>
        <w:rPr>
          <w:spacing w:val="-7"/>
        </w:rPr>
        <w:t xml:space="preserve"> </w:t>
      </w:r>
      <w:r>
        <w:t>Box</w:t>
      </w:r>
      <w:r>
        <w:rPr>
          <w:spacing w:val="-6"/>
        </w:rPr>
        <w:t xml:space="preserve"> </w:t>
      </w:r>
      <w:r>
        <w:t>1350 Grand Cayman KY1-1108</w:t>
      </w:r>
    </w:p>
    <w:p w14:paraId="16140F29" w14:textId="53147D5D" w:rsidR="00406550" w:rsidRDefault="001B59CE" w:rsidP="001B59CE">
      <w:pPr>
        <w:pStyle w:val="BodyText"/>
        <w:ind w:left="750"/>
        <w:jc w:val="left"/>
      </w:pPr>
      <w:r>
        <w:t>Cayman</w:t>
      </w:r>
      <w:r>
        <w:rPr>
          <w:spacing w:val="-2"/>
        </w:rPr>
        <w:t xml:space="preserve"> Islands</w:t>
      </w:r>
    </w:p>
    <w:sectPr w:rsidR="00406550" w:rsidSect="001B59CE">
      <w:footerReference w:type="default" r:id="rId13"/>
      <w:pgSz w:w="12240" w:h="15840"/>
      <w:pgMar w:top="1360" w:right="1320" w:bottom="980" w:left="1320" w:header="0" w:footer="78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EEDD4" w14:textId="77777777" w:rsidR="00000000" w:rsidRDefault="001B59CE">
      <w:r>
        <w:separator/>
      </w:r>
    </w:p>
  </w:endnote>
  <w:endnote w:type="continuationSeparator" w:id="0">
    <w:p w14:paraId="0168457F" w14:textId="77777777" w:rsidR="00000000" w:rsidRDefault="001B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36CFF" w14:textId="77777777" w:rsidR="001B59CE" w:rsidRDefault="001B59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A175E" w14:textId="77777777" w:rsidR="00406550" w:rsidRDefault="001B59CE">
    <w:pPr>
      <w:pStyle w:val="BodyText"/>
      <w:spacing w:line="14" w:lineRule="auto"/>
      <w:ind w:left="0"/>
      <w:jc w:val="left"/>
      <w:rPr>
        <w:sz w:val="20"/>
      </w:rPr>
    </w:pPr>
    <w:r>
      <w:pict w14:anchorId="695AAB28">
        <v:shapetype id="_x0000_t202" coordsize="21600,21600" o:spt="202" path="m,l,21600r21600,l21600,xe">
          <v:stroke joinstyle="miter"/>
          <v:path gradientshapeok="t" o:connecttype="rect"/>
        </v:shapetype>
        <v:shape id="docshape1" o:spid="_x0000_s1028" type="#_x0000_t202" style="position:absolute;margin-left:290.95pt;margin-top:741.55pt;width:33.05pt;height:15.3pt;z-index:-15913472;mso-position-horizontal-relative:page;mso-position-vertical-relative:page" filled="f" stroked="f">
          <v:textbox inset="0,0,0,0">
            <w:txbxContent>
              <w:p w14:paraId="6659DA0D" w14:textId="77777777" w:rsidR="00406550" w:rsidRDefault="001B59CE">
                <w:pPr>
                  <w:pStyle w:val="BodyText"/>
                  <w:spacing w:before="10"/>
                  <w:ind w:left="20"/>
                  <w:jc w:val="left"/>
                </w:pPr>
                <w:r>
                  <w:t>B-1-</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41960" w14:textId="77777777" w:rsidR="001B59CE" w:rsidRDefault="001B59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D357A" w14:textId="77777777" w:rsidR="00406550" w:rsidRDefault="001B59CE">
    <w:pPr>
      <w:pStyle w:val="BodyText"/>
      <w:spacing w:line="14" w:lineRule="auto"/>
      <w:ind w:left="0"/>
      <w:jc w:val="left"/>
      <w:rPr>
        <w:sz w:val="20"/>
      </w:rPr>
    </w:pPr>
    <w:r>
      <w:pict w14:anchorId="0F951BD8">
        <v:shapetype id="_x0000_t202" coordsize="21600,21600" o:spt="202" path="m,l,21600r21600,l21600,xe">
          <v:stroke joinstyle="miter"/>
          <v:path gradientshapeok="t" o:connecttype="rect"/>
        </v:shapetype>
        <v:shape id="docshape7" o:spid="_x0000_s1025" type="#_x0000_t202" style="position:absolute;margin-left:290.95pt;margin-top:741.55pt;width:33.05pt;height:15.3pt;z-index:-15911936;mso-position-horizontal-relative:page;mso-position-vertical-relative:page" filled="f" stroked="f">
          <v:textbox inset="0,0,0,0">
            <w:txbxContent>
              <w:p w14:paraId="2BA391AB" w14:textId="77777777" w:rsidR="00406550" w:rsidRDefault="001B59CE">
                <w:pPr>
                  <w:pStyle w:val="BodyText"/>
                  <w:spacing w:before="10"/>
                  <w:ind w:left="20"/>
                  <w:jc w:val="left"/>
                </w:pPr>
                <w:r>
                  <w:t>B-4-</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B8747" w14:textId="77777777" w:rsidR="00000000" w:rsidRDefault="001B59CE">
      <w:r>
        <w:separator/>
      </w:r>
    </w:p>
  </w:footnote>
  <w:footnote w:type="continuationSeparator" w:id="0">
    <w:p w14:paraId="0ED1F06F" w14:textId="77777777" w:rsidR="00000000" w:rsidRDefault="001B5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0669" w14:textId="77777777" w:rsidR="001B59CE" w:rsidRDefault="001B59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80DB" w14:textId="77777777" w:rsidR="001B59CE" w:rsidRDefault="001B59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1662" w14:textId="77777777" w:rsidR="001B59CE" w:rsidRDefault="001B5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0CA3"/>
    <w:multiLevelType w:val="hybridMultilevel"/>
    <w:tmpl w:val="DAEAF17E"/>
    <w:lvl w:ilvl="0" w:tplc="05C0E58E">
      <w:start w:val="2"/>
      <w:numFmt w:val="upperLetter"/>
      <w:lvlText w:val="(%1)"/>
      <w:lvlJc w:val="left"/>
      <w:pPr>
        <w:ind w:left="480" w:hanging="774"/>
        <w:jc w:val="left"/>
      </w:pPr>
      <w:rPr>
        <w:rFonts w:ascii="Times New Roman" w:eastAsia="Times New Roman" w:hAnsi="Times New Roman" w:cs="Times New Roman" w:hint="default"/>
        <w:b w:val="0"/>
        <w:bCs w:val="0"/>
        <w:i w:val="0"/>
        <w:iCs w:val="0"/>
        <w:w w:val="100"/>
        <w:sz w:val="24"/>
        <w:szCs w:val="24"/>
        <w:lang w:val="en-US" w:eastAsia="en-US" w:bidi="ar-SA"/>
      </w:rPr>
    </w:lvl>
    <w:lvl w:ilvl="1" w:tplc="F8C06834">
      <w:numFmt w:val="bullet"/>
      <w:lvlText w:val="•"/>
      <w:lvlJc w:val="left"/>
      <w:pPr>
        <w:ind w:left="1392" w:hanging="774"/>
      </w:pPr>
      <w:rPr>
        <w:rFonts w:hint="default"/>
        <w:lang w:val="en-US" w:eastAsia="en-US" w:bidi="ar-SA"/>
      </w:rPr>
    </w:lvl>
    <w:lvl w:ilvl="2" w:tplc="02224278">
      <w:numFmt w:val="bullet"/>
      <w:lvlText w:val="•"/>
      <w:lvlJc w:val="left"/>
      <w:pPr>
        <w:ind w:left="2304" w:hanging="774"/>
      </w:pPr>
      <w:rPr>
        <w:rFonts w:hint="default"/>
        <w:lang w:val="en-US" w:eastAsia="en-US" w:bidi="ar-SA"/>
      </w:rPr>
    </w:lvl>
    <w:lvl w:ilvl="3" w:tplc="6F0CA0C0">
      <w:numFmt w:val="bullet"/>
      <w:lvlText w:val="•"/>
      <w:lvlJc w:val="left"/>
      <w:pPr>
        <w:ind w:left="3216" w:hanging="774"/>
      </w:pPr>
      <w:rPr>
        <w:rFonts w:hint="default"/>
        <w:lang w:val="en-US" w:eastAsia="en-US" w:bidi="ar-SA"/>
      </w:rPr>
    </w:lvl>
    <w:lvl w:ilvl="4" w:tplc="87E601C0">
      <w:numFmt w:val="bullet"/>
      <w:lvlText w:val="•"/>
      <w:lvlJc w:val="left"/>
      <w:pPr>
        <w:ind w:left="4128" w:hanging="774"/>
      </w:pPr>
      <w:rPr>
        <w:rFonts w:hint="default"/>
        <w:lang w:val="en-US" w:eastAsia="en-US" w:bidi="ar-SA"/>
      </w:rPr>
    </w:lvl>
    <w:lvl w:ilvl="5" w:tplc="5EDC9294">
      <w:numFmt w:val="bullet"/>
      <w:lvlText w:val="•"/>
      <w:lvlJc w:val="left"/>
      <w:pPr>
        <w:ind w:left="5040" w:hanging="774"/>
      </w:pPr>
      <w:rPr>
        <w:rFonts w:hint="default"/>
        <w:lang w:val="en-US" w:eastAsia="en-US" w:bidi="ar-SA"/>
      </w:rPr>
    </w:lvl>
    <w:lvl w:ilvl="6" w:tplc="D0D86898">
      <w:numFmt w:val="bullet"/>
      <w:lvlText w:val="•"/>
      <w:lvlJc w:val="left"/>
      <w:pPr>
        <w:ind w:left="5952" w:hanging="774"/>
      </w:pPr>
      <w:rPr>
        <w:rFonts w:hint="default"/>
        <w:lang w:val="en-US" w:eastAsia="en-US" w:bidi="ar-SA"/>
      </w:rPr>
    </w:lvl>
    <w:lvl w:ilvl="7" w:tplc="093CB00A">
      <w:numFmt w:val="bullet"/>
      <w:lvlText w:val="•"/>
      <w:lvlJc w:val="left"/>
      <w:pPr>
        <w:ind w:left="6864" w:hanging="774"/>
      </w:pPr>
      <w:rPr>
        <w:rFonts w:hint="default"/>
        <w:lang w:val="en-US" w:eastAsia="en-US" w:bidi="ar-SA"/>
      </w:rPr>
    </w:lvl>
    <w:lvl w:ilvl="8" w:tplc="09160E48">
      <w:numFmt w:val="bullet"/>
      <w:lvlText w:val="•"/>
      <w:lvlJc w:val="left"/>
      <w:pPr>
        <w:ind w:left="7776" w:hanging="774"/>
      </w:pPr>
      <w:rPr>
        <w:rFonts w:hint="default"/>
        <w:lang w:val="en-US" w:eastAsia="en-US" w:bidi="ar-SA"/>
      </w:rPr>
    </w:lvl>
  </w:abstractNum>
  <w:abstractNum w:abstractNumId="1" w15:restartNumberingAfterBreak="0">
    <w:nsid w:val="0BA734D2"/>
    <w:multiLevelType w:val="hybridMultilevel"/>
    <w:tmpl w:val="1ABE4960"/>
    <w:lvl w:ilvl="0" w:tplc="71E26FA2">
      <w:start w:val="1"/>
      <w:numFmt w:val="decimal"/>
      <w:lvlText w:val="%1."/>
      <w:lvlJc w:val="left"/>
      <w:pPr>
        <w:ind w:left="120" w:hanging="568"/>
        <w:jc w:val="right"/>
      </w:pPr>
      <w:rPr>
        <w:rFonts w:ascii="Times New Roman" w:eastAsia="Times New Roman" w:hAnsi="Times New Roman" w:cs="Times New Roman" w:hint="default"/>
        <w:b w:val="0"/>
        <w:bCs w:val="0"/>
        <w:i w:val="0"/>
        <w:iCs w:val="0"/>
        <w:w w:val="100"/>
        <w:sz w:val="24"/>
        <w:szCs w:val="24"/>
        <w:lang w:val="en-US" w:eastAsia="en-US" w:bidi="ar-SA"/>
      </w:rPr>
    </w:lvl>
    <w:lvl w:ilvl="1" w:tplc="3C084B38">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350A2A56">
      <w:numFmt w:val="bullet"/>
      <w:lvlText w:val="•"/>
      <w:lvlJc w:val="left"/>
      <w:pPr>
        <w:ind w:left="1653" w:hanging="594"/>
      </w:pPr>
      <w:rPr>
        <w:rFonts w:hint="default"/>
        <w:lang w:val="en-US" w:eastAsia="en-US" w:bidi="ar-SA"/>
      </w:rPr>
    </w:lvl>
    <w:lvl w:ilvl="3" w:tplc="B240DDAA">
      <w:numFmt w:val="bullet"/>
      <w:lvlText w:val="•"/>
      <w:lvlJc w:val="left"/>
      <w:pPr>
        <w:ind w:left="2646" w:hanging="594"/>
      </w:pPr>
      <w:rPr>
        <w:rFonts w:hint="default"/>
        <w:lang w:val="en-US" w:eastAsia="en-US" w:bidi="ar-SA"/>
      </w:rPr>
    </w:lvl>
    <w:lvl w:ilvl="4" w:tplc="5F9A3028">
      <w:numFmt w:val="bullet"/>
      <w:lvlText w:val="•"/>
      <w:lvlJc w:val="left"/>
      <w:pPr>
        <w:ind w:left="3640" w:hanging="594"/>
      </w:pPr>
      <w:rPr>
        <w:rFonts w:hint="default"/>
        <w:lang w:val="en-US" w:eastAsia="en-US" w:bidi="ar-SA"/>
      </w:rPr>
    </w:lvl>
    <w:lvl w:ilvl="5" w:tplc="D04C6F0E">
      <w:numFmt w:val="bullet"/>
      <w:lvlText w:val="•"/>
      <w:lvlJc w:val="left"/>
      <w:pPr>
        <w:ind w:left="4633" w:hanging="594"/>
      </w:pPr>
      <w:rPr>
        <w:rFonts w:hint="default"/>
        <w:lang w:val="en-US" w:eastAsia="en-US" w:bidi="ar-SA"/>
      </w:rPr>
    </w:lvl>
    <w:lvl w:ilvl="6" w:tplc="08FE4A6E">
      <w:numFmt w:val="bullet"/>
      <w:lvlText w:val="•"/>
      <w:lvlJc w:val="left"/>
      <w:pPr>
        <w:ind w:left="5626" w:hanging="594"/>
      </w:pPr>
      <w:rPr>
        <w:rFonts w:hint="default"/>
        <w:lang w:val="en-US" w:eastAsia="en-US" w:bidi="ar-SA"/>
      </w:rPr>
    </w:lvl>
    <w:lvl w:ilvl="7" w:tplc="F2C040A6">
      <w:numFmt w:val="bullet"/>
      <w:lvlText w:val="•"/>
      <w:lvlJc w:val="left"/>
      <w:pPr>
        <w:ind w:left="6620" w:hanging="594"/>
      </w:pPr>
      <w:rPr>
        <w:rFonts w:hint="default"/>
        <w:lang w:val="en-US" w:eastAsia="en-US" w:bidi="ar-SA"/>
      </w:rPr>
    </w:lvl>
    <w:lvl w:ilvl="8" w:tplc="9A122CFC">
      <w:numFmt w:val="bullet"/>
      <w:lvlText w:val="•"/>
      <w:lvlJc w:val="left"/>
      <w:pPr>
        <w:ind w:left="7613" w:hanging="594"/>
      </w:pPr>
      <w:rPr>
        <w:rFonts w:hint="default"/>
        <w:lang w:val="en-US" w:eastAsia="en-US" w:bidi="ar-SA"/>
      </w:rPr>
    </w:lvl>
  </w:abstractNum>
  <w:abstractNum w:abstractNumId="2" w15:restartNumberingAfterBreak="0">
    <w:nsid w:val="235D6D1D"/>
    <w:multiLevelType w:val="hybridMultilevel"/>
    <w:tmpl w:val="6CA686CA"/>
    <w:lvl w:ilvl="0" w:tplc="79FE8854">
      <w:start w:val="2"/>
      <w:numFmt w:val="upperLetter"/>
      <w:lvlText w:val="(%1)"/>
      <w:lvlJc w:val="left"/>
      <w:pPr>
        <w:ind w:left="480" w:hanging="775"/>
        <w:jc w:val="left"/>
      </w:pPr>
      <w:rPr>
        <w:rFonts w:ascii="Times New Roman" w:eastAsia="Times New Roman" w:hAnsi="Times New Roman" w:cs="Times New Roman" w:hint="default"/>
        <w:b w:val="0"/>
        <w:bCs w:val="0"/>
        <w:i w:val="0"/>
        <w:iCs w:val="0"/>
        <w:w w:val="100"/>
        <w:sz w:val="24"/>
        <w:szCs w:val="24"/>
        <w:lang w:val="en-US" w:eastAsia="en-US" w:bidi="ar-SA"/>
      </w:rPr>
    </w:lvl>
    <w:lvl w:ilvl="1" w:tplc="8AEAD206">
      <w:numFmt w:val="bullet"/>
      <w:lvlText w:val="•"/>
      <w:lvlJc w:val="left"/>
      <w:pPr>
        <w:ind w:left="1392" w:hanging="775"/>
      </w:pPr>
      <w:rPr>
        <w:rFonts w:hint="default"/>
        <w:lang w:val="en-US" w:eastAsia="en-US" w:bidi="ar-SA"/>
      </w:rPr>
    </w:lvl>
    <w:lvl w:ilvl="2" w:tplc="C8BC7E00">
      <w:numFmt w:val="bullet"/>
      <w:lvlText w:val="•"/>
      <w:lvlJc w:val="left"/>
      <w:pPr>
        <w:ind w:left="2304" w:hanging="775"/>
      </w:pPr>
      <w:rPr>
        <w:rFonts w:hint="default"/>
        <w:lang w:val="en-US" w:eastAsia="en-US" w:bidi="ar-SA"/>
      </w:rPr>
    </w:lvl>
    <w:lvl w:ilvl="3" w:tplc="53E4A1A6">
      <w:numFmt w:val="bullet"/>
      <w:lvlText w:val="•"/>
      <w:lvlJc w:val="left"/>
      <w:pPr>
        <w:ind w:left="3216" w:hanging="775"/>
      </w:pPr>
      <w:rPr>
        <w:rFonts w:hint="default"/>
        <w:lang w:val="en-US" w:eastAsia="en-US" w:bidi="ar-SA"/>
      </w:rPr>
    </w:lvl>
    <w:lvl w:ilvl="4" w:tplc="D870C9E4">
      <w:numFmt w:val="bullet"/>
      <w:lvlText w:val="•"/>
      <w:lvlJc w:val="left"/>
      <w:pPr>
        <w:ind w:left="4128" w:hanging="775"/>
      </w:pPr>
      <w:rPr>
        <w:rFonts w:hint="default"/>
        <w:lang w:val="en-US" w:eastAsia="en-US" w:bidi="ar-SA"/>
      </w:rPr>
    </w:lvl>
    <w:lvl w:ilvl="5" w:tplc="D6FC23A4">
      <w:numFmt w:val="bullet"/>
      <w:lvlText w:val="•"/>
      <w:lvlJc w:val="left"/>
      <w:pPr>
        <w:ind w:left="5040" w:hanging="775"/>
      </w:pPr>
      <w:rPr>
        <w:rFonts w:hint="default"/>
        <w:lang w:val="en-US" w:eastAsia="en-US" w:bidi="ar-SA"/>
      </w:rPr>
    </w:lvl>
    <w:lvl w:ilvl="6" w:tplc="AB4626A4">
      <w:numFmt w:val="bullet"/>
      <w:lvlText w:val="•"/>
      <w:lvlJc w:val="left"/>
      <w:pPr>
        <w:ind w:left="5952" w:hanging="775"/>
      </w:pPr>
      <w:rPr>
        <w:rFonts w:hint="default"/>
        <w:lang w:val="en-US" w:eastAsia="en-US" w:bidi="ar-SA"/>
      </w:rPr>
    </w:lvl>
    <w:lvl w:ilvl="7" w:tplc="C5444FC6">
      <w:numFmt w:val="bullet"/>
      <w:lvlText w:val="•"/>
      <w:lvlJc w:val="left"/>
      <w:pPr>
        <w:ind w:left="6864" w:hanging="775"/>
      </w:pPr>
      <w:rPr>
        <w:rFonts w:hint="default"/>
        <w:lang w:val="en-US" w:eastAsia="en-US" w:bidi="ar-SA"/>
      </w:rPr>
    </w:lvl>
    <w:lvl w:ilvl="8" w:tplc="F12E0474">
      <w:numFmt w:val="bullet"/>
      <w:lvlText w:val="•"/>
      <w:lvlJc w:val="left"/>
      <w:pPr>
        <w:ind w:left="7776" w:hanging="775"/>
      </w:pPr>
      <w:rPr>
        <w:rFonts w:hint="default"/>
        <w:lang w:val="en-US" w:eastAsia="en-US" w:bidi="ar-SA"/>
      </w:rPr>
    </w:lvl>
  </w:abstractNum>
  <w:abstractNum w:abstractNumId="3" w15:restartNumberingAfterBreak="0">
    <w:nsid w:val="428B7FF8"/>
    <w:multiLevelType w:val="hybridMultilevel"/>
    <w:tmpl w:val="5BD8F112"/>
    <w:lvl w:ilvl="0" w:tplc="FEF6B1B4">
      <w:start w:val="2"/>
      <w:numFmt w:val="upperLetter"/>
      <w:lvlText w:val="(%1)"/>
      <w:lvlJc w:val="left"/>
      <w:pPr>
        <w:ind w:left="480" w:hanging="774"/>
        <w:jc w:val="left"/>
      </w:pPr>
      <w:rPr>
        <w:rFonts w:ascii="Times New Roman" w:eastAsia="Times New Roman" w:hAnsi="Times New Roman" w:cs="Times New Roman" w:hint="default"/>
        <w:b w:val="0"/>
        <w:bCs w:val="0"/>
        <w:i w:val="0"/>
        <w:iCs w:val="0"/>
        <w:w w:val="100"/>
        <w:sz w:val="24"/>
        <w:szCs w:val="24"/>
        <w:lang w:val="en-US" w:eastAsia="en-US" w:bidi="ar-SA"/>
      </w:rPr>
    </w:lvl>
    <w:lvl w:ilvl="1" w:tplc="C420B146">
      <w:numFmt w:val="bullet"/>
      <w:lvlText w:val="•"/>
      <w:lvlJc w:val="left"/>
      <w:pPr>
        <w:ind w:left="1392" w:hanging="774"/>
      </w:pPr>
      <w:rPr>
        <w:rFonts w:hint="default"/>
        <w:lang w:val="en-US" w:eastAsia="en-US" w:bidi="ar-SA"/>
      </w:rPr>
    </w:lvl>
    <w:lvl w:ilvl="2" w:tplc="819A6F7E">
      <w:numFmt w:val="bullet"/>
      <w:lvlText w:val="•"/>
      <w:lvlJc w:val="left"/>
      <w:pPr>
        <w:ind w:left="2304" w:hanging="774"/>
      </w:pPr>
      <w:rPr>
        <w:rFonts w:hint="default"/>
        <w:lang w:val="en-US" w:eastAsia="en-US" w:bidi="ar-SA"/>
      </w:rPr>
    </w:lvl>
    <w:lvl w:ilvl="3" w:tplc="BC88564C">
      <w:numFmt w:val="bullet"/>
      <w:lvlText w:val="•"/>
      <w:lvlJc w:val="left"/>
      <w:pPr>
        <w:ind w:left="3216" w:hanging="774"/>
      </w:pPr>
      <w:rPr>
        <w:rFonts w:hint="default"/>
        <w:lang w:val="en-US" w:eastAsia="en-US" w:bidi="ar-SA"/>
      </w:rPr>
    </w:lvl>
    <w:lvl w:ilvl="4" w:tplc="1EDE8DDA">
      <w:numFmt w:val="bullet"/>
      <w:lvlText w:val="•"/>
      <w:lvlJc w:val="left"/>
      <w:pPr>
        <w:ind w:left="4128" w:hanging="774"/>
      </w:pPr>
      <w:rPr>
        <w:rFonts w:hint="default"/>
        <w:lang w:val="en-US" w:eastAsia="en-US" w:bidi="ar-SA"/>
      </w:rPr>
    </w:lvl>
    <w:lvl w:ilvl="5" w:tplc="65B2E9BC">
      <w:numFmt w:val="bullet"/>
      <w:lvlText w:val="•"/>
      <w:lvlJc w:val="left"/>
      <w:pPr>
        <w:ind w:left="5040" w:hanging="774"/>
      </w:pPr>
      <w:rPr>
        <w:rFonts w:hint="default"/>
        <w:lang w:val="en-US" w:eastAsia="en-US" w:bidi="ar-SA"/>
      </w:rPr>
    </w:lvl>
    <w:lvl w:ilvl="6" w:tplc="81FE79E0">
      <w:numFmt w:val="bullet"/>
      <w:lvlText w:val="•"/>
      <w:lvlJc w:val="left"/>
      <w:pPr>
        <w:ind w:left="5952" w:hanging="774"/>
      </w:pPr>
      <w:rPr>
        <w:rFonts w:hint="default"/>
        <w:lang w:val="en-US" w:eastAsia="en-US" w:bidi="ar-SA"/>
      </w:rPr>
    </w:lvl>
    <w:lvl w:ilvl="7" w:tplc="EA6822FE">
      <w:numFmt w:val="bullet"/>
      <w:lvlText w:val="•"/>
      <w:lvlJc w:val="left"/>
      <w:pPr>
        <w:ind w:left="6864" w:hanging="774"/>
      </w:pPr>
      <w:rPr>
        <w:rFonts w:hint="default"/>
        <w:lang w:val="en-US" w:eastAsia="en-US" w:bidi="ar-SA"/>
      </w:rPr>
    </w:lvl>
    <w:lvl w:ilvl="8" w:tplc="E9004D20">
      <w:numFmt w:val="bullet"/>
      <w:lvlText w:val="•"/>
      <w:lvlJc w:val="left"/>
      <w:pPr>
        <w:ind w:left="7776" w:hanging="774"/>
      </w:pPr>
      <w:rPr>
        <w:rFonts w:hint="default"/>
        <w:lang w:val="en-US" w:eastAsia="en-US" w:bidi="ar-SA"/>
      </w:rPr>
    </w:lvl>
  </w:abstractNum>
  <w:abstractNum w:abstractNumId="4" w15:restartNumberingAfterBreak="0">
    <w:nsid w:val="65041916"/>
    <w:multiLevelType w:val="hybridMultilevel"/>
    <w:tmpl w:val="42FAD98C"/>
    <w:lvl w:ilvl="0" w:tplc="629EE370">
      <w:start w:val="1"/>
      <w:numFmt w:val="decimal"/>
      <w:lvlText w:val="%1."/>
      <w:lvlJc w:val="left"/>
      <w:pPr>
        <w:ind w:left="120" w:hanging="568"/>
        <w:jc w:val="left"/>
      </w:pPr>
      <w:rPr>
        <w:rFonts w:ascii="Times New Roman" w:eastAsia="Times New Roman" w:hAnsi="Times New Roman" w:cs="Times New Roman" w:hint="default"/>
        <w:b w:val="0"/>
        <w:bCs w:val="0"/>
        <w:i w:val="0"/>
        <w:iCs w:val="0"/>
        <w:w w:val="100"/>
        <w:sz w:val="24"/>
        <w:szCs w:val="24"/>
        <w:lang w:val="en-US" w:eastAsia="en-US" w:bidi="ar-SA"/>
      </w:rPr>
    </w:lvl>
    <w:lvl w:ilvl="1" w:tplc="BA142A4E">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7BE0D4EC">
      <w:numFmt w:val="bullet"/>
      <w:lvlText w:val="•"/>
      <w:lvlJc w:val="left"/>
      <w:pPr>
        <w:ind w:left="1653" w:hanging="594"/>
      </w:pPr>
      <w:rPr>
        <w:rFonts w:hint="default"/>
        <w:lang w:val="en-US" w:eastAsia="en-US" w:bidi="ar-SA"/>
      </w:rPr>
    </w:lvl>
    <w:lvl w:ilvl="3" w:tplc="E3420C7E">
      <w:numFmt w:val="bullet"/>
      <w:lvlText w:val="•"/>
      <w:lvlJc w:val="left"/>
      <w:pPr>
        <w:ind w:left="2646" w:hanging="594"/>
      </w:pPr>
      <w:rPr>
        <w:rFonts w:hint="default"/>
        <w:lang w:val="en-US" w:eastAsia="en-US" w:bidi="ar-SA"/>
      </w:rPr>
    </w:lvl>
    <w:lvl w:ilvl="4" w:tplc="BCF6CC7A">
      <w:numFmt w:val="bullet"/>
      <w:lvlText w:val="•"/>
      <w:lvlJc w:val="left"/>
      <w:pPr>
        <w:ind w:left="3640" w:hanging="594"/>
      </w:pPr>
      <w:rPr>
        <w:rFonts w:hint="default"/>
        <w:lang w:val="en-US" w:eastAsia="en-US" w:bidi="ar-SA"/>
      </w:rPr>
    </w:lvl>
    <w:lvl w:ilvl="5" w:tplc="E52C5E7E">
      <w:numFmt w:val="bullet"/>
      <w:lvlText w:val="•"/>
      <w:lvlJc w:val="left"/>
      <w:pPr>
        <w:ind w:left="4633" w:hanging="594"/>
      </w:pPr>
      <w:rPr>
        <w:rFonts w:hint="default"/>
        <w:lang w:val="en-US" w:eastAsia="en-US" w:bidi="ar-SA"/>
      </w:rPr>
    </w:lvl>
    <w:lvl w:ilvl="6" w:tplc="5C0E0462">
      <w:numFmt w:val="bullet"/>
      <w:lvlText w:val="•"/>
      <w:lvlJc w:val="left"/>
      <w:pPr>
        <w:ind w:left="5626" w:hanging="594"/>
      </w:pPr>
      <w:rPr>
        <w:rFonts w:hint="default"/>
        <w:lang w:val="en-US" w:eastAsia="en-US" w:bidi="ar-SA"/>
      </w:rPr>
    </w:lvl>
    <w:lvl w:ilvl="7" w:tplc="7BF25860">
      <w:numFmt w:val="bullet"/>
      <w:lvlText w:val="•"/>
      <w:lvlJc w:val="left"/>
      <w:pPr>
        <w:ind w:left="6620" w:hanging="594"/>
      </w:pPr>
      <w:rPr>
        <w:rFonts w:hint="default"/>
        <w:lang w:val="en-US" w:eastAsia="en-US" w:bidi="ar-SA"/>
      </w:rPr>
    </w:lvl>
    <w:lvl w:ilvl="8" w:tplc="F1A05082">
      <w:numFmt w:val="bullet"/>
      <w:lvlText w:val="•"/>
      <w:lvlJc w:val="left"/>
      <w:pPr>
        <w:ind w:left="7613" w:hanging="594"/>
      </w:pPr>
      <w:rPr>
        <w:rFonts w:hint="default"/>
        <w:lang w:val="en-US" w:eastAsia="en-US" w:bidi="ar-SA"/>
      </w:rPr>
    </w:lvl>
  </w:abstractNum>
  <w:abstractNum w:abstractNumId="5" w15:restartNumberingAfterBreak="0">
    <w:nsid w:val="742638B7"/>
    <w:multiLevelType w:val="hybridMultilevel"/>
    <w:tmpl w:val="2A42A270"/>
    <w:lvl w:ilvl="0" w:tplc="0A862A8E">
      <w:start w:val="1"/>
      <w:numFmt w:val="lowerLetter"/>
      <w:lvlText w:val="(%1)"/>
      <w:lvlJc w:val="left"/>
      <w:pPr>
        <w:ind w:left="839"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D5B4E0DA">
      <w:numFmt w:val="bullet"/>
      <w:lvlText w:val="•"/>
      <w:lvlJc w:val="left"/>
      <w:pPr>
        <w:ind w:left="1716" w:hanging="720"/>
      </w:pPr>
      <w:rPr>
        <w:rFonts w:hint="default"/>
        <w:lang w:val="en-US" w:eastAsia="en-US" w:bidi="ar-SA"/>
      </w:rPr>
    </w:lvl>
    <w:lvl w:ilvl="2" w:tplc="B08C9F60">
      <w:numFmt w:val="bullet"/>
      <w:lvlText w:val="•"/>
      <w:lvlJc w:val="left"/>
      <w:pPr>
        <w:ind w:left="2592" w:hanging="720"/>
      </w:pPr>
      <w:rPr>
        <w:rFonts w:hint="default"/>
        <w:lang w:val="en-US" w:eastAsia="en-US" w:bidi="ar-SA"/>
      </w:rPr>
    </w:lvl>
    <w:lvl w:ilvl="3" w:tplc="D66A2580">
      <w:numFmt w:val="bullet"/>
      <w:lvlText w:val="•"/>
      <w:lvlJc w:val="left"/>
      <w:pPr>
        <w:ind w:left="3468" w:hanging="720"/>
      </w:pPr>
      <w:rPr>
        <w:rFonts w:hint="default"/>
        <w:lang w:val="en-US" w:eastAsia="en-US" w:bidi="ar-SA"/>
      </w:rPr>
    </w:lvl>
    <w:lvl w:ilvl="4" w:tplc="E23825E0">
      <w:numFmt w:val="bullet"/>
      <w:lvlText w:val="•"/>
      <w:lvlJc w:val="left"/>
      <w:pPr>
        <w:ind w:left="4344" w:hanging="720"/>
      </w:pPr>
      <w:rPr>
        <w:rFonts w:hint="default"/>
        <w:lang w:val="en-US" w:eastAsia="en-US" w:bidi="ar-SA"/>
      </w:rPr>
    </w:lvl>
    <w:lvl w:ilvl="5" w:tplc="51B2850A">
      <w:numFmt w:val="bullet"/>
      <w:lvlText w:val="•"/>
      <w:lvlJc w:val="left"/>
      <w:pPr>
        <w:ind w:left="5220" w:hanging="720"/>
      </w:pPr>
      <w:rPr>
        <w:rFonts w:hint="default"/>
        <w:lang w:val="en-US" w:eastAsia="en-US" w:bidi="ar-SA"/>
      </w:rPr>
    </w:lvl>
    <w:lvl w:ilvl="6" w:tplc="7240716E">
      <w:numFmt w:val="bullet"/>
      <w:lvlText w:val="•"/>
      <w:lvlJc w:val="left"/>
      <w:pPr>
        <w:ind w:left="6096" w:hanging="720"/>
      </w:pPr>
      <w:rPr>
        <w:rFonts w:hint="default"/>
        <w:lang w:val="en-US" w:eastAsia="en-US" w:bidi="ar-SA"/>
      </w:rPr>
    </w:lvl>
    <w:lvl w:ilvl="7" w:tplc="2B223ABE">
      <w:numFmt w:val="bullet"/>
      <w:lvlText w:val="•"/>
      <w:lvlJc w:val="left"/>
      <w:pPr>
        <w:ind w:left="6972" w:hanging="720"/>
      </w:pPr>
      <w:rPr>
        <w:rFonts w:hint="default"/>
        <w:lang w:val="en-US" w:eastAsia="en-US" w:bidi="ar-SA"/>
      </w:rPr>
    </w:lvl>
    <w:lvl w:ilvl="8" w:tplc="1BB8DF26">
      <w:numFmt w:val="bullet"/>
      <w:lvlText w:val="•"/>
      <w:lvlJc w:val="left"/>
      <w:pPr>
        <w:ind w:left="7848" w:hanging="720"/>
      </w:pPr>
      <w:rPr>
        <w:rFonts w:hint="default"/>
        <w:lang w:val="en-US" w:eastAsia="en-US" w:bidi="ar-SA"/>
      </w:rPr>
    </w:lvl>
  </w:abstractNum>
  <w:abstractNum w:abstractNumId="6" w15:restartNumberingAfterBreak="0">
    <w:nsid w:val="7F9D10B0"/>
    <w:multiLevelType w:val="hybridMultilevel"/>
    <w:tmpl w:val="E4504C64"/>
    <w:lvl w:ilvl="0" w:tplc="1B2E3406">
      <w:start w:val="1"/>
      <w:numFmt w:val="decimal"/>
      <w:lvlText w:val="%1."/>
      <w:lvlJc w:val="left"/>
      <w:pPr>
        <w:ind w:left="120" w:hanging="568"/>
        <w:jc w:val="left"/>
      </w:pPr>
      <w:rPr>
        <w:rFonts w:ascii="Times New Roman" w:eastAsia="Times New Roman" w:hAnsi="Times New Roman" w:cs="Times New Roman" w:hint="default"/>
        <w:b w:val="0"/>
        <w:bCs w:val="0"/>
        <w:i w:val="0"/>
        <w:iCs w:val="0"/>
        <w:w w:val="100"/>
        <w:sz w:val="24"/>
        <w:szCs w:val="24"/>
        <w:lang w:val="en-US" w:eastAsia="en-US" w:bidi="ar-SA"/>
      </w:rPr>
    </w:lvl>
    <w:lvl w:ilvl="1" w:tplc="3B00D9D4">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4A8C38A6">
      <w:numFmt w:val="bullet"/>
      <w:lvlText w:val="•"/>
      <w:lvlJc w:val="left"/>
      <w:pPr>
        <w:ind w:left="1653" w:hanging="594"/>
      </w:pPr>
      <w:rPr>
        <w:rFonts w:hint="default"/>
        <w:lang w:val="en-US" w:eastAsia="en-US" w:bidi="ar-SA"/>
      </w:rPr>
    </w:lvl>
    <w:lvl w:ilvl="3" w:tplc="C9E61A78">
      <w:numFmt w:val="bullet"/>
      <w:lvlText w:val="•"/>
      <w:lvlJc w:val="left"/>
      <w:pPr>
        <w:ind w:left="2646" w:hanging="594"/>
      </w:pPr>
      <w:rPr>
        <w:rFonts w:hint="default"/>
        <w:lang w:val="en-US" w:eastAsia="en-US" w:bidi="ar-SA"/>
      </w:rPr>
    </w:lvl>
    <w:lvl w:ilvl="4" w:tplc="DEDE6DEC">
      <w:numFmt w:val="bullet"/>
      <w:lvlText w:val="•"/>
      <w:lvlJc w:val="left"/>
      <w:pPr>
        <w:ind w:left="3640" w:hanging="594"/>
      </w:pPr>
      <w:rPr>
        <w:rFonts w:hint="default"/>
        <w:lang w:val="en-US" w:eastAsia="en-US" w:bidi="ar-SA"/>
      </w:rPr>
    </w:lvl>
    <w:lvl w:ilvl="5" w:tplc="580C34B6">
      <w:numFmt w:val="bullet"/>
      <w:lvlText w:val="•"/>
      <w:lvlJc w:val="left"/>
      <w:pPr>
        <w:ind w:left="4633" w:hanging="594"/>
      </w:pPr>
      <w:rPr>
        <w:rFonts w:hint="default"/>
        <w:lang w:val="en-US" w:eastAsia="en-US" w:bidi="ar-SA"/>
      </w:rPr>
    </w:lvl>
    <w:lvl w:ilvl="6" w:tplc="9F4EE69E">
      <w:numFmt w:val="bullet"/>
      <w:lvlText w:val="•"/>
      <w:lvlJc w:val="left"/>
      <w:pPr>
        <w:ind w:left="5626" w:hanging="594"/>
      </w:pPr>
      <w:rPr>
        <w:rFonts w:hint="default"/>
        <w:lang w:val="en-US" w:eastAsia="en-US" w:bidi="ar-SA"/>
      </w:rPr>
    </w:lvl>
    <w:lvl w:ilvl="7" w:tplc="EA460260">
      <w:numFmt w:val="bullet"/>
      <w:lvlText w:val="•"/>
      <w:lvlJc w:val="left"/>
      <w:pPr>
        <w:ind w:left="6620" w:hanging="594"/>
      </w:pPr>
      <w:rPr>
        <w:rFonts w:hint="default"/>
        <w:lang w:val="en-US" w:eastAsia="en-US" w:bidi="ar-SA"/>
      </w:rPr>
    </w:lvl>
    <w:lvl w:ilvl="8" w:tplc="6412A354">
      <w:numFmt w:val="bullet"/>
      <w:lvlText w:val="•"/>
      <w:lvlJc w:val="left"/>
      <w:pPr>
        <w:ind w:left="7613" w:hanging="594"/>
      </w:pPr>
      <w:rPr>
        <w:rFonts w:hint="default"/>
        <w:lang w:val="en-US" w:eastAsia="en-US" w:bidi="ar-SA"/>
      </w:rPr>
    </w:lvl>
  </w:abstractNum>
  <w:num w:numId="1" w16cid:durableId="1375696834">
    <w:abstractNumId w:val="2"/>
  </w:num>
  <w:num w:numId="2" w16cid:durableId="1913544758">
    <w:abstractNumId w:val="4"/>
  </w:num>
  <w:num w:numId="3" w16cid:durableId="722483874">
    <w:abstractNumId w:val="5"/>
  </w:num>
  <w:num w:numId="4" w16cid:durableId="1373380172">
    <w:abstractNumId w:val="3"/>
  </w:num>
  <w:num w:numId="5" w16cid:durableId="1636788170">
    <w:abstractNumId w:val="6"/>
  </w:num>
  <w:num w:numId="6" w16cid:durableId="870610562">
    <w:abstractNumId w:val="0"/>
  </w:num>
  <w:num w:numId="7" w16cid:durableId="957417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06550"/>
    <w:rsid w:val="001B59CE"/>
    <w:rsid w:val="00406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28E97BC"/>
  <w15:docId w15:val="{ED6ADAFD-642F-48E9-8B18-F182C44A2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righ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rPr>
      <w:sz w:val="24"/>
      <w:szCs w:val="24"/>
    </w:rPr>
  </w:style>
  <w:style w:type="paragraph" w:styleId="ListParagraph">
    <w:name w:val="List Paragraph"/>
    <w:basedOn w:val="Normal"/>
    <w:uiPriority w:val="1"/>
    <w:qFormat/>
    <w:pPr>
      <w:spacing w:before="201"/>
      <w:ind w:left="120" w:right="11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B59CE"/>
    <w:pPr>
      <w:tabs>
        <w:tab w:val="center" w:pos="4680"/>
        <w:tab w:val="right" w:pos="9360"/>
      </w:tabs>
    </w:pPr>
  </w:style>
  <w:style w:type="character" w:customStyle="1" w:styleId="HeaderChar">
    <w:name w:val="Header Char"/>
    <w:basedOn w:val="DefaultParagraphFont"/>
    <w:link w:val="Header"/>
    <w:uiPriority w:val="99"/>
    <w:rsid w:val="001B59CE"/>
    <w:rPr>
      <w:rFonts w:ascii="Times New Roman" w:eastAsia="Times New Roman" w:hAnsi="Times New Roman" w:cs="Times New Roman"/>
    </w:rPr>
  </w:style>
  <w:style w:type="paragraph" w:styleId="Footer">
    <w:name w:val="footer"/>
    <w:basedOn w:val="Normal"/>
    <w:link w:val="FooterChar"/>
    <w:uiPriority w:val="99"/>
    <w:unhideWhenUsed/>
    <w:rsid w:val="001B59CE"/>
    <w:pPr>
      <w:tabs>
        <w:tab w:val="center" w:pos="4680"/>
        <w:tab w:val="right" w:pos="9360"/>
      </w:tabs>
    </w:pPr>
  </w:style>
  <w:style w:type="character" w:customStyle="1" w:styleId="FooterChar">
    <w:name w:val="Footer Char"/>
    <w:basedOn w:val="DefaultParagraphFont"/>
    <w:link w:val="Footer"/>
    <w:uiPriority w:val="99"/>
    <w:rsid w:val="001B59C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4023</Words>
  <Characters>22935</Characters>
  <Application>Microsoft Office Word</Application>
  <DocSecurity>0</DocSecurity>
  <Lines>191</Lines>
  <Paragraphs>53</Paragraphs>
  <ScaleCrop>false</ScaleCrop>
  <Company/>
  <LinksUpToDate>false</LinksUpToDate>
  <CharactersWithSpaces>26905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- 131522925_6</dc:title>
  <dc:creator>tcampo</dc:creator>
  <cp:lastModifiedBy>Jackman, Ecliff [ICG-SecSvs]</cp:lastModifiedBy>
  <cp:revision>2</cp:revision>
  <dcterms:created xsi:type="dcterms:W3CDTF">2023-04-05T18:01:00Z</dcterms:created>
  <dcterms:modified xsi:type="dcterms:W3CDTF">2023-04-05T18:25:00Z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Aspose Ltd.</vt:lpwstr>
  </property>
  <property fmtid="{D5CDD505-2E9C-101B-9397-08002B2CF9AE}" pid="4" name="LastSaved">
    <vt:filetime>2023-04-05T00:00:00Z</vt:filetime>
  </property>
  <property fmtid="{D5CDD505-2E9C-101B-9397-08002B2CF9AE}" pid="5" name="Producer">
    <vt:lpwstr>Aspose.Pdf for .NET 10.2.0</vt:lpwstr>
  </property>
  <property fmtid="{D5CDD505-2E9C-101B-9397-08002B2CF9AE}" pid="6" name="MSIP_Label_d291669d-c62a-41f9-9790-e463798003d8_Enabled">
    <vt:lpwstr>true</vt:lpwstr>
  </property>
  <property fmtid="{D5CDD505-2E9C-101B-9397-08002B2CF9AE}" pid="7" name="MSIP_Label_d291669d-c62a-41f9-9790-e463798003d8_SetDate">
    <vt:lpwstr>2023-04-05T18:25:29Z</vt:lpwstr>
  </property>
  <property fmtid="{D5CDD505-2E9C-101B-9397-08002B2CF9AE}" pid="8" name="MSIP_Label_d291669d-c62a-41f9-9790-e463798003d8_Method">
    <vt:lpwstr>Privileged</vt:lpwstr>
  </property>
  <property fmtid="{D5CDD505-2E9C-101B-9397-08002B2CF9AE}" pid="9" name="MSIP_Label_d291669d-c62a-41f9-9790-e463798003d8_Name">
    <vt:lpwstr>Public</vt:lpwstr>
  </property>
  <property fmtid="{D5CDD505-2E9C-101B-9397-08002B2CF9AE}" pid="10" name="MSIP_Label_d291669d-c62a-41f9-9790-e463798003d8_SiteId">
    <vt:lpwstr>1771ae17-e764-4e0f-a476-d4184d79a5d9</vt:lpwstr>
  </property>
  <property fmtid="{D5CDD505-2E9C-101B-9397-08002B2CF9AE}" pid="11" name="MSIP_Label_d291669d-c62a-41f9-9790-e463798003d8_ActionId">
    <vt:lpwstr>e6fde50c-b33d-4929-a4f2-a07a97dcd520</vt:lpwstr>
  </property>
  <property fmtid="{D5CDD505-2E9C-101B-9397-08002B2CF9AE}" pid="12" name="MSIP_Label_d291669d-c62a-41f9-9790-e463798003d8_ContentBits">
    <vt:lpwstr>0</vt:lpwstr>
  </property>
</Properties>
</file>